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pPr>
        <w:rPr>
          <w:rtl/>
        </w:rPr>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780CA3">
        <w:trPr>
          <w:jc w:val="center"/>
        </w:trPr>
        <w:tc>
          <w:tcPr>
            <w:tcW w:w="743" w:type="dxa"/>
          </w:tcPr>
          <w:p w:rsidR="00BC36F1" w:rsidRDefault="00BC36F1">
            <w:pPr>
              <w:jc w:val="both"/>
              <w:rPr>
                <w:rFonts w:ascii="Arial" w:hAnsi="Arial"/>
                <w:b/>
                <w:bCs/>
                <w:sz w:val="26"/>
                <w:szCs w:val="26"/>
                <w:rtl/>
              </w:rPr>
            </w:pPr>
          </w:p>
          <w:p w:rsidR="00BC36F1" w:rsidRDefault="002536B6">
            <w:pPr>
              <w:jc w:val="both"/>
              <w:rPr>
                <w:rFonts w:ascii="Arial" w:hAnsi="Arial"/>
                <w:b/>
                <w:bCs/>
                <w:sz w:val="26"/>
                <w:szCs w:val="26"/>
                <w:rtl/>
              </w:rPr>
            </w:pPr>
            <w:r>
              <w:rPr>
                <w:rFonts w:ascii="Arial" w:hAnsi="Arial" w:hint="cs"/>
                <w:b/>
                <w:bCs/>
                <w:sz w:val="26"/>
                <w:szCs w:val="26"/>
                <w:rtl/>
              </w:rPr>
              <w:t>לפני</w:t>
            </w:r>
          </w:p>
          <w:p w:rsidR="00BC36F1" w:rsidRDefault="00BC36F1">
            <w:pPr>
              <w:jc w:val="both"/>
              <w:rPr>
                <w:rFonts w:ascii="Arial" w:hAnsi="Arial"/>
                <w:b/>
                <w:bCs/>
                <w:sz w:val="26"/>
                <w:szCs w:val="26"/>
                <w:rtl/>
              </w:rPr>
            </w:pPr>
          </w:p>
          <w:p w:rsidR="00BC36F1" w:rsidRDefault="00BC36F1">
            <w:pPr>
              <w:jc w:val="both"/>
              <w:rPr>
                <w:rFonts w:ascii="Arial" w:hAnsi="Arial"/>
                <w:b/>
                <w:bCs/>
                <w:sz w:val="26"/>
                <w:szCs w:val="26"/>
                <w:rtl/>
              </w:rPr>
            </w:pPr>
          </w:p>
          <w:p w:rsidR="00BC36F1" w:rsidRDefault="00BC36F1">
            <w:pPr>
              <w:jc w:val="both"/>
              <w:rPr>
                <w:rFonts w:ascii="Arial" w:hAnsi="Arial"/>
                <w:b/>
                <w:bCs/>
                <w:sz w:val="26"/>
                <w:szCs w:val="26"/>
                <w:rtl/>
              </w:rPr>
            </w:pPr>
          </w:p>
          <w:p w:rsidR="00BC36F1" w:rsidRDefault="00BC36F1">
            <w:pPr>
              <w:jc w:val="both"/>
              <w:rPr>
                <w:rFonts w:ascii="Arial" w:hAnsi="Arial"/>
                <w:b/>
                <w:bCs/>
                <w:sz w:val="26"/>
                <w:szCs w:val="26"/>
                <w:rtl/>
              </w:rPr>
            </w:pPr>
          </w:p>
          <w:p w:rsidR="00694556" w:rsidRPr="00780CA3" w:rsidRDefault="00694556">
            <w:pPr>
              <w:jc w:val="both"/>
              <w:rPr>
                <w:rFonts w:ascii="Arial" w:hAnsi="Arial"/>
                <w:b/>
                <w:bCs/>
                <w:sz w:val="26"/>
                <w:szCs w:val="26"/>
              </w:rPr>
            </w:pPr>
          </w:p>
        </w:tc>
        <w:tc>
          <w:tcPr>
            <w:tcW w:w="8077" w:type="dxa"/>
            <w:gridSpan w:val="2"/>
          </w:tcPr>
          <w:p w:rsidR="00BC36F1" w:rsidRDefault="00BC36F1">
            <w:pPr>
              <w:rPr>
                <w:rFonts w:ascii="Arial" w:hAnsi="Arial"/>
                <w:b/>
                <w:bCs/>
                <w:sz w:val="26"/>
                <w:szCs w:val="26"/>
                <w:rtl/>
              </w:rPr>
            </w:pPr>
          </w:p>
          <w:p w:rsidR="00BC36F1" w:rsidRPr="00BC36F1" w:rsidRDefault="00BC36F1" w:rsidP="002536B6">
            <w:pPr>
              <w:rPr>
                <w:rFonts w:ascii="Arial" w:hAnsi="Arial"/>
                <w:b/>
                <w:bCs/>
                <w:sz w:val="28"/>
                <w:szCs w:val="28"/>
                <w:rtl/>
              </w:rPr>
            </w:pPr>
            <w:r w:rsidRPr="00BC36F1">
              <w:rPr>
                <w:rFonts w:ascii="Arial" w:hAnsi="Arial" w:hint="cs"/>
                <w:b/>
                <w:bCs/>
                <w:sz w:val="28"/>
                <w:szCs w:val="28"/>
                <w:rtl/>
              </w:rPr>
              <w:t>וועדת ערר לפי חוק מיסוי מקרקעין (שבח ורכישה),</w:t>
            </w:r>
            <w:r w:rsidR="002536B6">
              <w:rPr>
                <w:rFonts w:ascii="Arial" w:hAnsi="Arial" w:hint="cs"/>
                <w:b/>
                <w:bCs/>
                <w:sz w:val="28"/>
                <w:szCs w:val="28"/>
                <w:rtl/>
              </w:rPr>
              <w:t xml:space="preserve"> </w:t>
            </w:r>
            <w:r w:rsidRPr="00BC36F1">
              <w:rPr>
                <w:rFonts w:ascii="Arial" w:hAnsi="Arial" w:hint="cs"/>
                <w:b/>
                <w:bCs/>
                <w:sz w:val="28"/>
                <w:szCs w:val="28"/>
                <w:rtl/>
              </w:rPr>
              <w:t>התשכ"ג-1963</w:t>
            </w:r>
          </w:p>
          <w:p w:rsidR="00BC36F1" w:rsidRDefault="00BC36F1">
            <w:pPr>
              <w:rPr>
                <w:rFonts w:ascii="Arial" w:hAnsi="Arial"/>
                <w:b/>
                <w:bCs/>
                <w:sz w:val="26"/>
                <w:szCs w:val="26"/>
                <w:rtl/>
              </w:rPr>
            </w:pPr>
          </w:p>
          <w:p w:rsidR="00BC36F1" w:rsidRDefault="00BC36F1">
            <w:pPr>
              <w:rPr>
                <w:rFonts w:ascii="Arial" w:hAnsi="Arial"/>
                <w:b/>
                <w:bCs/>
                <w:sz w:val="26"/>
                <w:szCs w:val="26"/>
                <w:rtl/>
              </w:rPr>
            </w:pPr>
          </w:p>
          <w:p w:rsidR="00BC36F1" w:rsidRDefault="00BC36F1">
            <w:pPr>
              <w:rPr>
                <w:rFonts w:ascii="Arial" w:hAnsi="Arial"/>
                <w:b/>
                <w:bCs/>
                <w:sz w:val="26"/>
                <w:szCs w:val="26"/>
                <w:rtl/>
              </w:rPr>
            </w:pPr>
          </w:p>
          <w:p w:rsidR="00694556" w:rsidRDefault="003B3C95">
            <w:pPr>
              <w:rPr>
                <w:rFonts w:ascii="Arial" w:hAnsi="Arial"/>
                <w:b/>
                <w:bCs/>
                <w:sz w:val="26"/>
                <w:szCs w:val="26"/>
                <w:rtl/>
              </w:rPr>
            </w:pPr>
            <w:r>
              <w:rPr>
                <w:rFonts w:ascii="Arial" w:hAnsi="Arial" w:hint="cs"/>
                <w:b/>
                <w:bCs/>
                <w:sz w:val="26"/>
                <w:szCs w:val="26"/>
                <w:rtl/>
              </w:rPr>
              <w:t>כבוד</w:t>
            </w:r>
            <w:r w:rsidR="00005C8B" w:rsidRPr="00780CA3">
              <w:rPr>
                <w:rFonts w:ascii="Arial" w:hAnsi="Arial" w:hint="cs"/>
                <w:b/>
                <w:bCs/>
                <w:sz w:val="26"/>
                <w:szCs w:val="26"/>
                <w:rtl/>
              </w:rPr>
              <w:t xml:space="preserve"> ה</w:t>
            </w:r>
            <w:r w:rsidR="00005C8B">
              <w:rPr>
                <w:rFonts w:ascii="Arial" w:hAnsi="Arial"/>
                <w:b/>
                <w:bCs/>
                <w:sz w:val="26"/>
                <w:szCs w:val="26"/>
                <w:rtl/>
              </w:rPr>
              <w:t>שופט</w:t>
            </w:r>
            <w:r w:rsidR="00005C8B" w:rsidRPr="00780CA3">
              <w:rPr>
                <w:rFonts w:ascii="Arial" w:hAnsi="Arial" w:hint="cs"/>
                <w:b/>
                <w:bCs/>
                <w:sz w:val="26"/>
                <w:szCs w:val="26"/>
                <w:rtl/>
              </w:rPr>
              <w:t xml:space="preserve">  </w:t>
            </w:r>
            <w:r w:rsidR="00D75759">
              <w:rPr>
                <w:rFonts w:ascii="Arial" w:hAnsi="Arial"/>
                <w:b/>
                <w:bCs/>
                <w:sz w:val="26"/>
                <w:szCs w:val="26"/>
                <w:rtl/>
              </w:rPr>
              <w:t>ה</w:t>
            </w:r>
            <w:r w:rsidR="00D75759">
              <w:rPr>
                <w:rFonts w:ascii="Arial" w:hAnsi="Arial" w:hint="cs"/>
                <w:b/>
                <w:bCs/>
                <w:sz w:val="26"/>
                <w:szCs w:val="26"/>
                <w:rtl/>
              </w:rPr>
              <w:t>'</w:t>
            </w:r>
            <w:r w:rsidR="00005C8B">
              <w:rPr>
                <w:rFonts w:ascii="Arial" w:hAnsi="Arial"/>
                <w:b/>
                <w:bCs/>
                <w:sz w:val="26"/>
                <w:szCs w:val="26"/>
                <w:rtl/>
              </w:rPr>
              <w:t xml:space="preserve"> קירש</w:t>
            </w:r>
            <w:r w:rsidR="00BC36F1">
              <w:rPr>
                <w:rFonts w:ascii="Arial" w:hAnsi="Arial" w:hint="cs"/>
                <w:b/>
                <w:bCs/>
                <w:sz w:val="26"/>
                <w:szCs w:val="26"/>
                <w:rtl/>
              </w:rPr>
              <w:t xml:space="preserve"> </w:t>
            </w:r>
            <w:r w:rsidR="00BC36F1">
              <w:rPr>
                <w:rFonts w:ascii="Arial" w:hAnsi="Arial"/>
                <w:b/>
                <w:bCs/>
                <w:sz w:val="26"/>
                <w:szCs w:val="26"/>
                <w:rtl/>
              </w:rPr>
              <w:t>–</w:t>
            </w:r>
            <w:r w:rsidR="00BC36F1">
              <w:rPr>
                <w:rFonts w:ascii="Arial" w:hAnsi="Arial" w:hint="cs"/>
                <w:b/>
                <w:bCs/>
                <w:sz w:val="26"/>
                <w:szCs w:val="26"/>
                <w:rtl/>
              </w:rPr>
              <w:t xml:space="preserve"> יו"ר</w:t>
            </w:r>
          </w:p>
          <w:p w:rsidR="00BC36F1" w:rsidRDefault="00BC36F1">
            <w:pPr>
              <w:rPr>
                <w:rFonts w:ascii="Arial" w:hAnsi="Arial"/>
                <w:b/>
                <w:bCs/>
                <w:sz w:val="26"/>
                <w:szCs w:val="26"/>
                <w:rtl/>
              </w:rPr>
            </w:pPr>
            <w:r>
              <w:rPr>
                <w:rFonts w:ascii="Arial" w:hAnsi="Arial" w:hint="cs"/>
                <w:b/>
                <w:bCs/>
                <w:sz w:val="26"/>
                <w:szCs w:val="26"/>
                <w:rtl/>
              </w:rPr>
              <w:t>רו"ח יהושע בליצקי</w:t>
            </w:r>
            <w:r w:rsidR="003B3C95">
              <w:rPr>
                <w:rFonts w:ascii="Arial" w:hAnsi="Arial" w:hint="cs"/>
                <w:b/>
                <w:bCs/>
                <w:sz w:val="26"/>
                <w:szCs w:val="26"/>
                <w:rtl/>
              </w:rPr>
              <w:t xml:space="preserve"> </w:t>
            </w:r>
            <w:r>
              <w:rPr>
                <w:rFonts w:ascii="Arial" w:hAnsi="Arial" w:hint="cs"/>
                <w:b/>
                <w:bCs/>
                <w:sz w:val="26"/>
                <w:szCs w:val="26"/>
                <w:rtl/>
              </w:rPr>
              <w:t xml:space="preserve"> </w:t>
            </w:r>
            <w:r w:rsidR="003B3C95">
              <w:rPr>
                <w:rFonts w:ascii="Arial" w:hAnsi="Arial" w:hint="cs"/>
                <w:b/>
                <w:bCs/>
                <w:sz w:val="26"/>
                <w:szCs w:val="26"/>
                <w:rtl/>
              </w:rPr>
              <w:t xml:space="preserve">   </w:t>
            </w:r>
            <w:r w:rsidR="003B3C95">
              <w:rPr>
                <w:rFonts w:ascii="Arial" w:hAnsi="Arial"/>
                <w:b/>
                <w:bCs/>
                <w:sz w:val="26"/>
                <w:szCs w:val="26"/>
                <w:rtl/>
              </w:rPr>
              <w:t>–</w:t>
            </w:r>
            <w:r w:rsidR="003B3C95">
              <w:rPr>
                <w:rFonts w:ascii="Arial" w:hAnsi="Arial" w:hint="cs"/>
                <w:b/>
                <w:bCs/>
                <w:sz w:val="26"/>
                <w:szCs w:val="26"/>
                <w:rtl/>
              </w:rPr>
              <w:t xml:space="preserve"> חבר</w:t>
            </w:r>
          </w:p>
          <w:p w:rsidR="003B3C95" w:rsidRPr="00780CA3" w:rsidRDefault="003B3C95">
            <w:pPr>
              <w:rPr>
                <w:rFonts w:ascii="Arial" w:hAnsi="Arial"/>
                <w:b/>
                <w:bCs/>
                <w:sz w:val="26"/>
                <w:szCs w:val="26"/>
                <w:rtl/>
              </w:rPr>
            </w:pPr>
            <w:r>
              <w:rPr>
                <w:rFonts w:ascii="Arial" w:hAnsi="Arial" w:hint="cs"/>
                <w:b/>
                <w:bCs/>
                <w:sz w:val="26"/>
                <w:szCs w:val="26"/>
                <w:rtl/>
              </w:rPr>
              <w:t>רו"ח צבי פרידמן</w:t>
            </w:r>
            <w:r>
              <w:rPr>
                <w:rFonts w:ascii="Arial" w:hAnsi="Arial" w:hint="cs"/>
                <w:b/>
                <w:bCs/>
                <w:sz w:val="26"/>
                <w:szCs w:val="26"/>
              </w:rPr>
              <w:t xml:space="preserve">     </w:t>
            </w:r>
            <w:r>
              <w:rPr>
                <w:rFonts w:ascii="Arial" w:hAnsi="Arial" w:hint="cs"/>
                <w:b/>
                <w:bCs/>
                <w:sz w:val="26"/>
                <w:szCs w:val="26"/>
                <w:rtl/>
              </w:rPr>
              <w:t xml:space="preserve">    </w:t>
            </w:r>
            <w:r>
              <w:rPr>
                <w:rFonts w:ascii="Arial" w:hAnsi="Arial"/>
                <w:b/>
                <w:bCs/>
                <w:sz w:val="26"/>
                <w:szCs w:val="26"/>
                <w:rtl/>
              </w:rPr>
              <w:t>–</w:t>
            </w:r>
            <w:r w:rsidR="006579A4">
              <w:rPr>
                <w:rFonts w:ascii="Arial" w:hAnsi="Arial" w:hint="cs"/>
                <w:b/>
                <w:bCs/>
                <w:sz w:val="26"/>
                <w:szCs w:val="26"/>
                <w:rtl/>
              </w:rPr>
              <w:t xml:space="preserve"> </w:t>
            </w:r>
            <w:r>
              <w:rPr>
                <w:rFonts w:ascii="Arial" w:hAnsi="Arial" w:hint="cs"/>
                <w:b/>
                <w:bCs/>
                <w:sz w:val="26"/>
                <w:szCs w:val="26"/>
                <w:rtl/>
              </w:rPr>
              <w:t xml:space="preserve">חבר </w:t>
            </w:r>
          </w:p>
          <w:p w:rsidR="00694556" w:rsidRPr="00780CA3" w:rsidRDefault="00694556">
            <w:pPr>
              <w:rPr>
                <w:rFonts w:ascii="Arial" w:hAnsi="Arial" w:cs="FrankRuehl"/>
                <w:sz w:val="26"/>
                <w:szCs w:val="26"/>
                <w:highlight w:val="yellow"/>
              </w:rPr>
            </w:pPr>
          </w:p>
        </w:tc>
      </w:tr>
      <w:tr w:rsidR="00694556" w:rsidRPr="00780CA3">
        <w:trPr>
          <w:jc w:val="center"/>
        </w:trPr>
        <w:tc>
          <w:tcPr>
            <w:tcW w:w="3249" w:type="dxa"/>
            <w:gridSpan w:val="2"/>
          </w:tcPr>
          <w:p w:rsidR="00694556" w:rsidRPr="00780CA3" w:rsidRDefault="00694556">
            <w:pPr>
              <w:bidi w:val="0"/>
              <w:jc w:val="right"/>
              <w:rPr>
                <w:rFonts w:ascii="Arial" w:hAnsi="Arial"/>
                <w:b/>
                <w:bCs/>
                <w:noProof w:val="0"/>
                <w:sz w:val="26"/>
                <w:szCs w:val="26"/>
              </w:rPr>
            </w:pPr>
          </w:p>
          <w:p w:rsidR="00293E68" w:rsidRDefault="00D75759">
            <w:pPr>
              <w:bidi w:val="0"/>
              <w:jc w:val="right"/>
              <w:rPr>
                <w:rFonts w:ascii="Arial" w:hAnsi="Arial"/>
                <w:b/>
                <w:bCs/>
                <w:noProof w:val="0"/>
                <w:sz w:val="26"/>
                <w:szCs w:val="26"/>
              </w:rPr>
            </w:pPr>
            <w:r>
              <w:rPr>
                <w:rFonts w:ascii="Arial" w:hAnsi="Arial" w:hint="cs"/>
                <w:b/>
                <w:bCs/>
                <w:noProof w:val="0"/>
                <w:sz w:val="26"/>
                <w:szCs w:val="26"/>
                <w:rtl/>
              </w:rPr>
              <w:t>העוררים</w:t>
            </w:r>
          </w:p>
        </w:tc>
        <w:tc>
          <w:tcPr>
            <w:tcW w:w="5571" w:type="dxa"/>
          </w:tcPr>
          <w:p w:rsidR="00694556" w:rsidRPr="00780CA3" w:rsidRDefault="00694556">
            <w:pPr>
              <w:rPr>
                <w:rFonts w:ascii="Arial" w:hAnsi="Arial"/>
                <w:b/>
                <w:bCs/>
                <w:noProof w:val="0"/>
                <w:sz w:val="26"/>
                <w:szCs w:val="26"/>
              </w:rPr>
            </w:pPr>
          </w:p>
          <w:p w:rsidR="00780CA3" w:rsidRDefault="00D3013B">
            <w:pPr>
              <w:rPr>
                <w:sz w:val="26"/>
                <w:szCs w:val="26"/>
                <w:rtl/>
              </w:rPr>
            </w:pPr>
            <w:r>
              <w:rPr>
                <w:rFonts w:ascii="Arial" w:hAnsi="Arial"/>
                <w:b/>
                <w:bCs/>
                <w:noProof w:val="0"/>
                <w:sz w:val="26"/>
                <w:szCs w:val="26"/>
                <w:rtl/>
              </w:rPr>
              <w:t>1</w:t>
            </w:r>
            <w:r w:rsidR="00005C8B" w:rsidRPr="00780CA3">
              <w:rPr>
                <w:b/>
                <w:bCs/>
                <w:noProof w:val="0"/>
                <w:sz w:val="26"/>
                <w:szCs w:val="26"/>
                <w:rtl/>
              </w:rPr>
              <w:t xml:space="preserve">. </w:t>
            </w:r>
            <w:r>
              <w:rPr>
                <w:rFonts w:ascii="Arial" w:hAnsi="Arial"/>
                <w:b/>
                <w:bCs/>
                <w:noProof w:val="0"/>
                <w:sz w:val="26"/>
                <w:szCs w:val="26"/>
                <w:rtl/>
              </w:rPr>
              <w:t>נטע צוובנר</w:t>
            </w:r>
          </w:p>
          <w:p w:rsidR="00780CA3" w:rsidRDefault="00D3013B">
            <w:pPr>
              <w:rPr>
                <w:sz w:val="26"/>
                <w:szCs w:val="26"/>
                <w:rtl/>
              </w:rPr>
            </w:pPr>
            <w:r>
              <w:rPr>
                <w:rFonts w:ascii="Arial" w:hAnsi="Arial"/>
                <w:b/>
                <w:bCs/>
                <w:noProof w:val="0"/>
                <w:sz w:val="26"/>
                <w:szCs w:val="26"/>
                <w:rtl/>
              </w:rPr>
              <w:t>2</w:t>
            </w:r>
            <w:r w:rsidR="00005C8B" w:rsidRPr="00780CA3">
              <w:rPr>
                <w:b/>
                <w:bCs/>
                <w:noProof w:val="0"/>
                <w:sz w:val="26"/>
                <w:szCs w:val="26"/>
                <w:rtl/>
              </w:rPr>
              <w:t xml:space="preserve">. </w:t>
            </w:r>
            <w:r>
              <w:rPr>
                <w:rFonts w:ascii="Arial" w:hAnsi="Arial"/>
                <w:b/>
                <w:bCs/>
                <w:noProof w:val="0"/>
                <w:sz w:val="26"/>
                <w:szCs w:val="26"/>
                <w:rtl/>
              </w:rPr>
              <w:t>ארז שחר</w:t>
            </w:r>
          </w:p>
          <w:p w:rsidR="00694556" w:rsidRPr="00780CA3" w:rsidRDefault="00780CA3">
            <w:pPr>
              <w:rPr>
                <w:b/>
                <w:bCs/>
                <w:noProof w:val="0"/>
                <w:sz w:val="26"/>
                <w:szCs w:val="26"/>
              </w:rPr>
            </w:pPr>
            <w:r>
              <w:rPr>
                <w:rFonts w:hint="cs"/>
                <w:sz w:val="26"/>
                <w:szCs w:val="26"/>
                <w:rtl/>
              </w:rPr>
              <w:t>ע"י ב"כ עו"ד</w:t>
            </w:r>
            <w:r w:rsidR="00D75759">
              <w:rPr>
                <w:rFonts w:hint="cs"/>
                <w:b/>
                <w:bCs/>
                <w:noProof w:val="0"/>
                <w:sz w:val="26"/>
                <w:szCs w:val="26"/>
                <w:rtl/>
              </w:rPr>
              <w:t xml:space="preserve"> </w:t>
            </w:r>
            <w:r w:rsidR="00D75759" w:rsidRPr="00D75759">
              <w:rPr>
                <w:rFonts w:hint="cs"/>
                <w:noProof w:val="0"/>
                <w:sz w:val="26"/>
                <w:szCs w:val="26"/>
                <w:rtl/>
              </w:rPr>
              <w:t>רוני צוונבר</w:t>
            </w:r>
          </w:p>
        </w:tc>
      </w:tr>
      <w:tr w:rsidR="00694556" w:rsidRPr="00780CA3">
        <w:trPr>
          <w:jc w:val="center"/>
        </w:trPr>
        <w:tc>
          <w:tcPr>
            <w:tcW w:w="8820" w:type="dxa"/>
            <w:gridSpan w:val="3"/>
          </w:tcPr>
          <w:p w:rsidR="00694556" w:rsidRPr="00780CA3" w:rsidRDefault="00694556">
            <w:pPr>
              <w:rPr>
                <w:rFonts w:ascii="Arial" w:hAnsi="Arial"/>
                <w:b/>
                <w:bCs/>
                <w:noProof w:val="0"/>
                <w:sz w:val="26"/>
                <w:szCs w:val="26"/>
                <w:rtl/>
              </w:rPr>
            </w:pPr>
          </w:p>
          <w:p w:rsidR="00694556" w:rsidRPr="00780CA3" w:rsidRDefault="00005C8B">
            <w:pPr>
              <w:jc w:val="center"/>
              <w:rPr>
                <w:rFonts w:ascii="Arial" w:hAnsi="Arial"/>
                <w:b/>
                <w:bCs/>
                <w:noProof w:val="0"/>
                <w:sz w:val="26"/>
                <w:szCs w:val="26"/>
                <w:rtl/>
              </w:rPr>
            </w:pPr>
            <w:r w:rsidRPr="00780CA3">
              <w:rPr>
                <w:rFonts w:ascii="Arial" w:hAnsi="Arial"/>
                <w:b/>
                <w:bCs/>
                <w:noProof w:val="0"/>
                <w:sz w:val="26"/>
                <w:szCs w:val="26"/>
                <w:rtl/>
              </w:rPr>
              <w:t>נגד</w:t>
            </w:r>
          </w:p>
          <w:p w:rsidR="00694556" w:rsidRPr="00780CA3" w:rsidRDefault="00694556">
            <w:pPr>
              <w:rPr>
                <w:rFonts w:ascii="Arial" w:hAnsi="Arial"/>
                <w:b/>
                <w:bCs/>
                <w:noProof w:val="0"/>
                <w:sz w:val="26"/>
                <w:szCs w:val="26"/>
              </w:rPr>
            </w:pPr>
          </w:p>
        </w:tc>
      </w:tr>
      <w:tr w:rsidR="00694556" w:rsidRPr="00780CA3">
        <w:trPr>
          <w:jc w:val="center"/>
        </w:trPr>
        <w:tc>
          <w:tcPr>
            <w:tcW w:w="3249" w:type="dxa"/>
            <w:gridSpan w:val="2"/>
          </w:tcPr>
          <w:p w:rsidR="00694556" w:rsidRPr="00780CA3" w:rsidRDefault="00694556">
            <w:pPr>
              <w:rPr>
                <w:rFonts w:ascii="Arial" w:hAnsi="Arial"/>
                <w:b/>
                <w:bCs/>
                <w:noProof w:val="0"/>
                <w:sz w:val="26"/>
                <w:szCs w:val="26"/>
                <w:rtl/>
              </w:rPr>
            </w:pPr>
          </w:p>
          <w:p w:rsidR="00694556" w:rsidRPr="00780CA3" w:rsidRDefault="00D75759">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p>
        </w:tc>
        <w:tc>
          <w:tcPr>
            <w:tcW w:w="5571" w:type="dxa"/>
          </w:tcPr>
          <w:p w:rsidR="00694556" w:rsidRPr="00780CA3" w:rsidRDefault="00694556">
            <w:pPr>
              <w:rPr>
                <w:rFonts w:ascii="Arial" w:hAnsi="Arial"/>
                <w:b/>
                <w:bCs/>
                <w:noProof w:val="0"/>
                <w:sz w:val="26"/>
                <w:szCs w:val="26"/>
                <w:rtl/>
              </w:rPr>
            </w:pPr>
          </w:p>
          <w:p w:rsidR="00780CA3" w:rsidRDefault="00D3013B">
            <w:pPr>
              <w:rPr>
                <w:sz w:val="26"/>
                <w:szCs w:val="26"/>
                <w:rtl/>
              </w:rPr>
            </w:pPr>
            <w:r>
              <w:rPr>
                <w:rFonts w:ascii="Arial" w:hAnsi="Arial"/>
                <w:b/>
                <w:bCs/>
                <w:noProof w:val="0"/>
                <w:sz w:val="26"/>
                <w:szCs w:val="26"/>
                <w:rtl/>
              </w:rPr>
              <w:t>מנהל מיסוי מקרקעין תל אביב</w:t>
            </w:r>
          </w:p>
          <w:p w:rsidR="00012F98" w:rsidRDefault="00780CA3">
            <w:pPr>
              <w:rPr>
                <w:sz w:val="26"/>
                <w:szCs w:val="26"/>
                <w:rtl/>
              </w:rPr>
            </w:pPr>
            <w:r>
              <w:rPr>
                <w:rFonts w:hint="cs"/>
                <w:sz w:val="26"/>
                <w:szCs w:val="26"/>
                <w:rtl/>
              </w:rPr>
              <w:t>ע"י ב"כ עו</w:t>
            </w:r>
            <w:r w:rsidR="00876237">
              <w:rPr>
                <w:rFonts w:hint="cs"/>
                <w:sz w:val="26"/>
                <w:szCs w:val="26"/>
                <w:rtl/>
              </w:rPr>
              <w:t>ה</w:t>
            </w:r>
            <w:r>
              <w:rPr>
                <w:rFonts w:hint="cs"/>
                <w:sz w:val="26"/>
                <w:szCs w:val="26"/>
                <w:rtl/>
              </w:rPr>
              <w:t>"ד</w:t>
            </w:r>
            <w:r w:rsidR="00D75759">
              <w:rPr>
                <w:rFonts w:hint="cs"/>
                <w:sz w:val="26"/>
                <w:szCs w:val="26"/>
                <w:rtl/>
              </w:rPr>
              <w:t xml:space="preserve"> עדי חן </w:t>
            </w:r>
            <w:r w:rsidR="00876237">
              <w:rPr>
                <w:rFonts w:hint="cs"/>
                <w:sz w:val="26"/>
                <w:szCs w:val="26"/>
                <w:rtl/>
              </w:rPr>
              <w:t>ורויטל בן דוד</w:t>
            </w:r>
          </w:p>
          <w:p w:rsidR="00694556" w:rsidRPr="00780CA3" w:rsidRDefault="00D75759" w:rsidP="00295EDC">
            <w:pPr>
              <w:rPr>
                <w:b/>
                <w:bCs/>
                <w:noProof w:val="0"/>
                <w:sz w:val="26"/>
                <w:szCs w:val="26"/>
                <w:rtl/>
              </w:rPr>
            </w:pPr>
            <w:r>
              <w:rPr>
                <w:rFonts w:hint="cs"/>
                <w:sz w:val="26"/>
                <w:szCs w:val="26"/>
                <w:rtl/>
              </w:rPr>
              <w:t>מפרקליטות</w:t>
            </w:r>
            <w:r w:rsidR="00012F98">
              <w:rPr>
                <w:rFonts w:hint="cs"/>
                <w:sz w:val="26"/>
                <w:szCs w:val="26"/>
                <w:rtl/>
              </w:rPr>
              <w:t xml:space="preserve"> </w:t>
            </w:r>
            <w:r>
              <w:rPr>
                <w:rFonts w:hint="cs"/>
                <w:sz w:val="26"/>
                <w:szCs w:val="26"/>
                <w:rtl/>
              </w:rPr>
              <w:t xml:space="preserve"> מחוז ת</w:t>
            </w:r>
            <w:r w:rsidR="00012F98">
              <w:rPr>
                <w:rFonts w:hint="cs"/>
                <w:sz w:val="26"/>
                <w:szCs w:val="26"/>
                <w:rtl/>
              </w:rPr>
              <w:t>ל אביב</w:t>
            </w:r>
            <w:r w:rsidR="00295EDC">
              <w:rPr>
                <w:rFonts w:hint="cs"/>
                <w:sz w:val="26"/>
                <w:szCs w:val="26"/>
                <w:rtl/>
              </w:rPr>
              <w:t xml:space="preserve"> (אזרחי)</w:t>
            </w:r>
          </w:p>
        </w:tc>
      </w:tr>
    </w:tbl>
    <w:p w:rsidR="00694556" w:rsidRPr="00012F98" w:rsidRDefault="00694556"/>
    <w:p w:rsidR="00694556" w:rsidRDefault="00694556"/>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FE5C5B" w:rsidRDefault="00005C8B">
            <w:pPr>
              <w:bidi w:val="0"/>
              <w:jc w:val="center"/>
              <w:rPr>
                <w:rFonts w:ascii="Arial" w:hAnsi="Arial"/>
                <w:b/>
                <w:bCs/>
                <w:noProof w:val="0"/>
                <w:sz w:val="36"/>
                <w:szCs w:val="36"/>
                <w:u w:val="single"/>
              </w:rPr>
            </w:pPr>
            <w:r w:rsidRPr="00FE5C5B">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6579A4" w:rsidRDefault="006579A4">
      <w:pPr>
        <w:spacing w:line="360" w:lineRule="auto"/>
        <w:jc w:val="both"/>
        <w:rPr>
          <w:rFonts w:ascii="Arial" w:hAnsi="Arial"/>
          <w:noProof w:val="0"/>
          <w:rtl/>
        </w:rPr>
      </w:pPr>
    </w:p>
    <w:p w:rsidR="00694556" w:rsidRPr="003B3C95" w:rsidRDefault="003B3C95">
      <w:pPr>
        <w:spacing w:line="360" w:lineRule="auto"/>
        <w:jc w:val="both"/>
        <w:rPr>
          <w:rFonts w:ascii="Arial" w:hAnsi="Arial"/>
          <w:b/>
          <w:bCs/>
          <w:noProof w:val="0"/>
          <w:sz w:val="26"/>
          <w:szCs w:val="26"/>
          <w:rtl/>
        </w:rPr>
      </w:pPr>
      <w:r>
        <w:rPr>
          <w:rFonts w:ascii="Arial" w:hAnsi="Arial" w:hint="cs"/>
          <w:b/>
          <w:bCs/>
          <w:noProof w:val="0"/>
          <w:sz w:val="26"/>
          <w:szCs w:val="26"/>
          <w:rtl/>
        </w:rPr>
        <w:t xml:space="preserve">     </w:t>
      </w:r>
      <w:r w:rsidRPr="003B3C95">
        <w:rPr>
          <w:rFonts w:ascii="Arial" w:hAnsi="Arial" w:hint="cs"/>
          <w:b/>
          <w:bCs/>
          <w:noProof w:val="0"/>
          <w:sz w:val="26"/>
          <w:szCs w:val="26"/>
          <w:rtl/>
        </w:rPr>
        <w:t>כבוד השופט ה' קירש, יו"ר ועדת הערר:</w:t>
      </w:r>
    </w:p>
    <w:p w:rsidR="003B3C95" w:rsidRPr="003B3C95" w:rsidRDefault="003B3C95">
      <w:pPr>
        <w:spacing w:line="360" w:lineRule="auto"/>
        <w:jc w:val="both"/>
        <w:rPr>
          <w:rFonts w:ascii="Arial" w:hAnsi="Arial"/>
          <w:b/>
          <w:bCs/>
          <w:noProof w:val="0"/>
          <w:u w:val="single"/>
          <w:rtl/>
        </w:rPr>
      </w:pPr>
    </w:p>
    <w:p w:rsidR="00694556" w:rsidRDefault="00D75759" w:rsidP="00D75759">
      <w:pPr>
        <w:pStyle w:val="ad"/>
        <w:numPr>
          <w:ilvl w:val="0"/>
          <w:numId w:val="1"/>
        </w:numPr>
        <w:spacing w:line="360" w:lineRule="auto"/>
        <w:jc w:val="both"/>
        <w:rPr>
          <w:rFonts w:ascii="Arial" w:hAnsi="Arial"/>
          <w:b/>
          <w:bCs/>
          <w:noProof w:val="0"/>
          <w:sz w:val="32"/>
          <w:szCs w:val="32"/>
        </w:rPr>
      </w:pPr>
      <w:r w:rsidRPr="00D75759">
        <w:rPr>
          <w:rFonts w:ascii="Arial" w:hAnsi="Arial" w:hint="cs"/>
          <w:b/>
          <w:bCs/>
          <w:noProof w:val="0"/>
          <w:sz w:val="32"/>
          <w:szCs w:val="32"/>
          <w:u w:val="single"/>
          <w:rtl/>
        </w:rPr>
        <w:t>מבוא</w:t>
      </w:r>
    </w:p>
    <w:p w:rsidR="00D75759" w:rsidRDefault="004A34E2" w:rsidP="00C846C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בער</w:t>
      </w:r>
      <w:r w:rsidR="00295EDC">
        <w:rPr>
          <w:rFonts w:ascii="Arial" w:hAnsi="Arial" w:hint="cs"/>
          <w:noProof w:val="0"/>
          <w:sz w:val="26"/>
          <w:szCs w:val="26"/>
          <w:rtl/>
        </w:rPr>
        <w:t>ר זה נדונה סוגי</w:t>
      </w:r>
      <w:r w:rsidR="00FE5C5B">
        <w:rPr>
          <w:rFonts w:ascii="Arial" w:hAnsi="Arial" w:hint="cs"/>
          <w:noProof w:val="0"/>
          <w:sz w:val="26"/>
          <w:szCs w:val="26"/>
          <w:rtl/>
        </w:rPr>
        <w:t xml:space="preserve">ה אחת ויחידה: האם תקנה 12 לתקנות מיסוי מקרקעין (שבח ורכישה) (מס רכישה), התשל"ה-1974 </w:t>
      </w:r>
      <w:r w:rsidR="00FE5C5B">
        <w:rPr>
          <w:rFonts w:ascii="Arial" w:hAnsi="Arial"/>
          <w:noProof w:val="0"/>
          <w:sz w:val="26"/>
          <w:szCs w:val="26"/>
          <w:rtl/>
        </w:rPr>
        <w:t>–</w:t>
      </w:r>
      <w:r w:rsidR="00FE5C5B">
        <w:rPr>
          <w:rFonts w:ascii="Arial" w:hAnsi="Arial" w:hint="cs"/>
          <w:noProof w:val="0"/>
          <w:sz w:val="26"/>
          <w:szCs w:val="26"/>
          <w:rtl/>
        </w:rPr>
        <w:t xml:space="preserve"> אשר מעניקה</w:t>
      </w:r>
      <w:r w:rsidR="00295EDC">
        <w:rPr>
          <w:rFonts w:ascii="Arial" w:hAnsi="Arial" w:hint="cs"/>
          <w:noProof w:val="0"/>
          <w:sz w:val="26"/>
          <w:szCs w:val="26"/>
          <w:rtl/>
        </w:rPr>
        <w:t xml:space="preserve"> הקלה</w:t>
      </w:r>
      <w:r w:rsidR="00FE5C5B">
        <w:rPr>
          <w:rFonts w:ascii="Arial" w:hAnsi="Arial" w:hint="cs"/>
          <w:noProof w:val="0"/>
          <w:sz w:val="26"/>
          <w:szCs w:val="26"/>
          <w:rtl/>
        </w:rPr>
        <w:t xml:space="preserve"> בשיעור מס הרכישה ל"עולה"</w:t>
      </w:r>
      <w:r w:rsidR="00C846CD">
        <w:rPr>
          <w:rStyle w:val="af0"/>
          <w:rFonts w:ascii="Arial" w:hAnsi="Arial"/>
          <w:noProof w:val="0"/>
          <w:sz w:val="26"/>
          <w:szCs w:val="26"/>
          <w:rtl/>
        </w:rPr>
        <w:footnoteReference w:id="1"/>
      </w:r>
      <w:r w:rsidR="00FE5C5B">
        <w:rPr>
          <w:rFonts w:ascii="Arial" w:hAnsi="Arial" w:hint="cs"/>
          <w:noProof w:val="0"/>
          <w:sz w:val="26"/>
          <w:szCs w:val="26"/>
          <w:rtl/>
        </w:rPr>
        <w:t xml:space="preserve"> </w:t>
      </w:r>
      <w:r w:rsidR="00FE5C5B">
        <w:rPr>
          <w:rFonts w:ascii="Arial" w:hAnsi="Arial"/>
          <w:noProof w:val="0"/>
          <w:sz w:val="26"/>
          <w:szCs w:val="26"/>
          <w:rtl/>
        </w:rPr>
        <w:t>–</w:t>
      </w:r>
      <w:r w:rsidR="00FE5C5B">
        <w:rPr>
          <w:rFonts w:ascii="Arial" w:hAnsi="Arial" w:hint="cs"/>
          <w:noProof w:val="0"/>
          <w:sz w:val="26"/>
          <w:szCs w:val="26"/>
          <w:rtl/>
        </w:rPr>
        <w:t xml:space="preserve"> חלה גם על אדם שנחשב "תושב חוזר ותיק", כמשמעות מונח זה בסעיף 14 לפקודת מס הכנסה? </w:t>
      </w:r>
    </w:p>
    <w:p w:rsidR="00FE5C5B" w:rsidRDefault="00FE5C5B" w:rsidP="00FE5C5B">
      <w:pPr>
        <w:pStyle w:val="ad"/>
        <w:spacing w:line="360" w:lineRule="auto"/>
        <w:ind w:left="587"/>
        <w:jc w:val="both"/>
        <w:rPr>
          <w:rFonts w:ascii="Arial" w:hAnsi="Arial"/>
          <w:noProof w:val="0"/>
          <w:sz w:val="26"/>
          <w:szCs w:val="26"/>
        </w:rPr>
      </w:pPr>
    </w:p>
    <w:p w:rsidR="00FE5C5B" w:rsidRDefault="00FE5C5B" w:rsidP="004A34E2">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העוררת, ילידת הארץ, רכשה זכויות בדירת מגורים בחודש פברואר 2021. לטענתה, היא התגוררה דרך </w:t>
      </w:r>
      <w:r w:rsidR="004A34E2">
        <w:rPr>
          <w:rFonts w:ascii="Arial" w:hAnsi="Arial" w:hint="cs"/>
          <w:noProof w:val="0"/>
          <w:sz w:val="26"/>
          <w:szCs w:val="26"/>
          <w:rtl/>
        </w:rPr>
        <w:t xml:space="preserve">קבע מחוץ למדינה בין השנים 2005 </w:t>
      </w:r>
      <w:r w:rsidR="004A34E2">
        <w:rPr>
          <w:rFonts w:ascii="Arial" w:hAnsi="Arial"/>
          <w:noProof w:val="0"/>
          <w:sz w:val="26"/>
          <w:szCs w:val="26"/>
          <w:rtl/>
        </w:rPr>
        <w:t>–</w:t>
      </w:r>
      <w:r>
        <w:rPr>
          <w:rFonts w:ascii="Arial" w:hAnsi="Arial" w:hint="cs"/>
          <w:noProof w:val="0"/>
          <w:sz w:val="26"/>
          <w:szCs w:val="26"/>
          <w:rtl/>
        </w:rPr>
        <w:t xml:space="preserve"> 2015 וכאשר היא שבה לישראל בשנת 2015 היא הייתה בחזקת "תושב חוזר ותיק". מכיוון שכך, לפי גישת העוררת, כאשר היא רכשה זכויות בדירת </w:t>
      </w:r>
      <w:r w:rsidR="008D6568">
        <w:rPr>
          <w:rFonts w:ascii="Arial" w:hAnsi="Arial" w:hint="cs"/>
          <w:noProof w:val="0"/>
          <w:sz w:val="26"/>
          <w:szCs w:val="26"/>
          <w:rtl/>
        </w:rPr>
        <w:t>ה</w:t>
      </w:r>
      <w:r>
        <w:rPr>
          <w:rFonts w:ascii="Arial" w:hAnsi="Arial" w:hint="cs"/>
          <w:noProof w:val="0"/>
          <w:sz w:val="26"/>
          <w:szCs w:val="26"/>
          <w:rtl/>
        </w:rPr>
        <w:t xml:space="preserve">מגורים כחמש וחצי שנים לאחר שובה, היא הייתה זכאית להקלה במס </w:t>
      </w:r>
      <w:r w:rsidR="008D6568">
        <w:rPr>
          <w:rFonts w:ascii="Arial" w:hAnsi="Arial" w:hint="cs"/>
          <w:noProof w:val="0"/>
          <w:sz w:val="26"/>
          <w:szCs w:val="26"/>
          <w:rtl/>
        </w:rPr>
        <w:t>ה</w:t>
      </w:r>
      <w:r>
        <w:rPr>
          <w:rFonts w:ascii="Arial" w:hAnsi="Arial" w:hint="cs"/>
          <w:noProof w:val="0"/>
          <w:sz w:val="26"/>
          <w:szCs w:val="26"/>
          <w:rtl/>
        </w:rPr>
        <w:t xml:space="preserve">רכישה הקבועה בתקנה 12 הנ"ל. </w:t>
      </w:r>
    </w:p>
    <w:p w:rsidR="00FE5C5B" w:rsidRPr="008D6568" w:rsidRDefault="00FE5C5B" w:rsidP="00FE5C5B">
      <w:pPr>
        <w:pStyle w:val="ad"/>
        <w:rPr>
          <w:rFonts w:ascii="Arial" w:hAnsi="Arial"/>
          <w:noProof w:val="0"/>
          <w:sz w:val="26"/>
          <w:szCs w:val="26"/>
          <w:rtl/>
        </w:rPr>
      </w:pPr>
    </w:p>
    <w:p w:rsidR="00FE5C5B" w:rsidRDefault="00FE5C5B" w:rsidP="008D6568">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לנוכח הסדר דיוני שהוסכם בין הצדדים לערר זה, שאושר על</w:t>
      </w:r>
      <w:r w:rsidR="004355D9">
        <w:rPr>
          <w:rFonts w:ascii="Arial" w:hAnsi="Arial" w:hint="cs"/>
          <w:noProof w:val="0"/>
          <w:sz w:val="26"/>
          <w:szCs w:val="26"/>
          <w:rtl/>
        </w:rPr>
        <w:t xml:space="preserve"> ידי</w:t>
      </w:r>
      <w:r>
        <w:rPr>
          <w:rFonts w:ascii="Arial" w:hAnsi="Arial" w:hint="cs"/>
          <w:noProof w:val="0"/>
          <w:sz w:val="26"/>
          <w:szCs w:val="26"/>
          <w:rtl/>
        </w:rPr>
        <w:t xml:space="preserve"> ועדת הערר בהחלטה מיום </w:t>
      </w:r>
      <w:r w:rsidR="008D6568">
        <w:rPr>
          <w:rFonts w:ascii="Arial" w:hAnsi="Arial" w:hint="cs"/>
          <w:noProof w:val="0"/>
          <w:sz w:val="26"/>
          <w:szCs w:val="26"/>
          <w:rtl/>
        </w:rPr>
        <w:t>2.5.2023</w:t>
      </w:r>
      <w:r>
        <w:rPr>
          <w:rFonts w:ascii="Arial" w:hAnsi="Arial" w:hint="cs"/>
          <w:noProof w:val="0"/>
          <w:sz w:val="26"/>
          <w:szCs w:val="26"/>
          <w:rtl/>
        </w:rPr>
        <w:t>, אין צורך לדון</w:t>
      </w:r>
      <w:r w:rsidR="006332DC">
        <w:rPr>
          <w:rFonts w:ascii="Arial" w:hAnsi="Arial" w:hint="cs"/>
          <w:noProof w:val="0"/>
          <w:sz w:val="26"/>
          <w:szCs w:val="26"/>
          <w:rtl/>
        </w:rPr>
        <w:t xml:space="preserve"> כאן בשאלה האם העוררת אכן הייתה</w:t>
      </w:r>
      <w:r>
        <w:rPr>
          <w:rFonts w:ascii="Arial" w:hAnsi="Arial" w:hint="cs"/>
          <w:noProof w:val="0"/>
          <w:sz w:val="26"/>
          <w:szCs w:val="26"/>
          <w:rtl/>
        </w:rPr>
        <w:t xml:space="preserve"> "תושב </w:t>
      </w:r>
      <w:r w:rsidR="004355D9">
        <w:rPr>
          <w:rFonts w:ascii="Arial" w:hAnsi="Arial" w:hint="cs"/>
          <w:noProof w:val="0"/>
          <w:sz w:val="26"/>
          <w:szCs w:val="26"/>
          <w:rtl/>
        </w:rPr>
        <w:t xml:space="preserve">חוזר ותיק" כהגדרתו בסעיף 14 לפקודת מס הכנסה. </w:t>
      </w:r>
    </w:p>
    <w:p w:rsidR="004355D9" w:rsidRPr="004355D9" w:rsidRDefault="004355D9" w:rsidP="004355D9">
      <w:pPr>
        <w:pStyle w:val="ad"/>
        <w:rPr>
          <w:rFonts w:ascii="Arial" w:hAnsi="Arial"/>
          <w:noProof w:val="0"/>
          <w:sz w:val="26"/>
          <w:szCs w:val="26"/>
          <w:rtl/>
        </w:rPr>
      </w:pPr>
    </w:p>
    <w:p w:rsidR="004355D9" w:rsidRDefault="004355D9" w:rsidP="00734F3C">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הוסכם בין הצדדים </w:t>
      </w:r>
      <w:r w:rsidRPr="00734F3C">
        <w:rPr>
          <w:rFonts w:ascii="Arial" w:hAnsi="Arial" w:hint="cs"/>
          <w:b/>
          <w:bCs/>
          <w:noProof w:val="0"/>
          <w:sz w:val="26"/>
          <w:szCs w:val="26"/>
          <w:rtl/>
        </w:rPr>
        <w:t>"למען ייעול הדיון ומבלי לפגוע בטענות הצדדים"</w:t>
      </w:r>
      <w:r w:rsidR="00CB53F2">
        <w:rPr>
          <w:rFonts w:ascii="Arial" w:hAnsi="Arial" w:hint="cs"/>
          <w:b/>
          <w:bCs/>
          <w:noProof w:val="0"/>
          <w:sz w:val="26"/>
          <w:szCs w:val="26"/>
          <w:rtl/>
        </w:rPr>
        <w:t>,</w:t>
      </w:r>
      <w:r w:rsidR="00CD5DEB">
        <w:rPr>
          <w:rFonts w:ascii="Arial" w:hAnsi="Arial" w:hint="cs"/>
          <w:noProof w:val="0"/>
          <w:sz w:val="26"/>
          <w:szCs w:val="26"/>
          <w:rtl/>
        </w:rPr>
        <w:t xml:space="preserve"> </w:t>
      </w:r>
      <w:r>
        <w:rPr>
          <w:rFonts w:ascii="Arial" w:hAnsi="Arial" w:hint="cs"/>
          <w:noProof w:val="0"/>
          <w:sz w:val="26"/>
          <w:szCs w:val="26"/>
          <w:rtl/>
        </w:rPr>
        <w:t xml:space="preserve">כי </w:t>
      </w:r>
      <w:r w:rsidRPr="00CD5DEB">
        <w:rPr>
          <w:rFonts w:ascii="Arial" w:hAnsi="Arial" w:hint="cs"/>
          <w:b/>
          <w:bCs/>
          <w:noProof w:val="0"/>
          <w:sz w:val="26"/>
          <w:szCs w:val="26"/>
          <w:rtl/>
        </w:rPr>
        <w:t>"ביחס לערר זה... לא תוכרע שאלת מעמד העוררת כ'תושב חוזר ותיק'"</w:t>
      </w:r>
      <w:r>
        <w:rPr>
          <w:rFonts w:ascii="Arial" w:hAnsi="Arial" w:hint="cs"/>
          <w:noProof w:val="0"/>
          <w:sz w:val="26"/>
          <w:szCs w:val="26"/>
          <w:rtl/>
        </w:rPr>
        <w:t>. עם זאת, עוד הוסכם, לעניין מס הרכישה בלבד, כי:</w:t>
      </w:r>
    </w:p>
    <w:p w:rsidR="007F5B54" w:rsidRDefault="007F5B54" w:rsidP="004355D9">
      <w:pPr>
        <w:pStyle w:val="ad"/>
        <w:spacing w:line="360" w:lineRule="auto"/>
        <w:ind w:left="587"/>
        <w:jc w:val="both"/>
        <w:rPr>
          <w:rFonts w:ascii="Arial" w:hAnsi="Arial"/>
          <w:noProof w:val="0"/>
          <w:sz w:val="26"/>
          <w:szCs w:val="26"/>
          <w:highlight w:val="yellow"/>
          <w:rtl/>
        </w:rPr>
      </w:pPr>
    </w:p>
    <w:p w:rsidR="007F5B54" w:rsidRPr="007F5B54" w:rsidRDefault="007F5B54" w:rsidP="007F5B54">
      <w:pPr>
        <w:pStyle w:val="ad"/>
        <w:spacing w:line="360" w:lineRule="auto"/>
        <w:ind w:left="1134" w:right="567"/>
        <w:jc w:val="both"/>
        <w:rPr>
          <w:rFonts w:ascii="Arial" w:hAnsi="Arial"/>
          <w:b/>
          <w:bCs/>
          <w:noProof w:val="0"/>
          <w:sz w:val="26"/>
          <w:szCs w:val="26"/>
          <w:rtl/>
        </w:rPr>
      </w:pPr>
      <w:r w:rsidRPr="007F5B54">
        <w:rPr>
          <w:rFonts w:ascii="Arial" w:hAnsi="Arial" w:hint="cs"/>
          <w:b/>
          <w:bCs/>
          <w:noProof w:val="0"/>
          <w:sz w:val="26"/>
          <w:szCs w:val="26"/>
          <w:rtl/>
        </w:rPr>
        <w:t xml:space="preserve">"ככל שיקבע בפסק דין חלוט לתחולת תקנה 12 גם לגבי 'תושב חוזר ותיק' </w:t>
      </w:r>
      <w:r w:rsidRPr="007F5B54">
        <w:rPr>
          <w:rFonts w:ascii="Arial" w:hAnsi="Arial"/>
          <w:b/>
          <w:bCs/>
          <w:noProof w:val="0"/>
          <w:sz w:val="26"/>
          <w:szCs w:val="26"/>
          <w:rtl/>
        </w:rPr>
        <w:t>–</w:t>
      </w:r>
      <w:r w:rsidRPr="007F5B54">
        <w:rPr>
          <w:rFonts w:ascii="Arial" w:hAnsi="Arial" w:hint="cs"/>
          <w:b/>
          <w:bCs/>
          <w:noProof w:val="0"/>
          <w:sz w:val="26"/>
          <w:szCs w:val="26"/>
          <w:rtl/>
        </w:rPr>
        <w:t xml:space="preserve"> אזי יינתנו לעוררת ההקלות לעולה, בכפוף לתנאים הקבועים בתקנה 12(ב) </w:t>
      </w:r>
      <w:r w:rsidRPr="007F5B54">
        <w:rPr>
          <w:rFonts w:ascii="Arial" w:hAnsi="Arial"/>
          <w:b/>
          <w:bCs/>
          <w:noProof w:val="0"/>
          <w:sz w:val="26"/>
          <w:szCs w:val="26"/>
          <w:rtl/>
        </w:rPr>
        <w:t>–</w:t>
      </w:r>
      <w:r w:rsidRPr="007F5B54">
        <w:rPr>
          <w:rFonts w:ascii="Arial" w:hAnsi="Arial" w:hint="cs"/>
          <w:b/>
          <w:bCs/>
          <w:noProof w:val="0"/>
          <w:sz w:val="26"/>
          <w:szCs w:val="26"/>
          <w:rtl/>
        </w:rPr>
        <w:t xml:space="preserve"> (ו).</w:t>
      </w:r>
      <w:r w:rsidR="007030A8">
        <w:rPr>
          <w:rFonts w:ascii="Arial" w:hAnsi="Arial" w:hint="cs"/>
          <w:b/>
          <w:bCs/>
          <w:noProof w:val="0"/>
          <w:sz w:val="26"/>
          <w:szCs w:val="26"/>
          <w:rtl/>
        </w:rPr>
        <w:t>"</w:t>
      </w:r>
      <w:r w:rsidRPr="007F5B54">
        <w:rPr>
          <w:rFonts w:ascii="Arial" w:hAnsi="Arial" w:hint="cs"/>
          <w:b/>
          <w:bCs/>
          <w:noProof w:val="0"/>
          <w:sz w:val="26"/>
          <w:szCs w:val="26"/>
          <w:rtl/>
        </w:rPr>
        <w:t xml:space="preserve"> </w:t>
      </w:r>
    </w:p>
    <w:p w:rsidR="004355D9" w:rsidRDefault="004355D9" w:rsidP="004355D9">
      <w:pPr>
        <w:pStyle w:val="ad"/>
        <w:spacing w:line="360" w:lineRule="auto"/>
        <w:ind w:left="587"/>
        <w:jc w:val="both"/>
        <w:rPr>
          <w:rFonts w:ascii="Arial" w:hAnsi="Arial"/>
          <w:noProof w:val="0"/>
          <w:sz w:val="26"/>
          <w:szCs w:val="26"/>
          <w:rtl/>
        </w:rPr>
      </w:pPr>
    </w:p>
    <w:p w:rsidR="004355D9" w:rsidRDefault="004355D9" w:rsidP="004355D9">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מכיוון שכך, המחלוקת בערר הצטמצמה לשאלה משפטית בלבד. </w:t>
      </w:r>
      <w:r>
        <w:rPr>
          <w:rFonts w:ascii="Arial" w:hAnsi="Arial"/>
          <w:noProof w:val="0"/>
          <w:sz w:val="26"/>
          <w:szCs w:val="26"/>
        </w:rPr>
        <w:t xml:space="preserve"> </w:t>
      </w:r>
    </w:p>
    <w:p w:rsidR="004355D9" w:rsidRPr="004355D9" w:rsidRDefault="004355D9" w:rsidP="004355D9">
      <w:pPr>
        <w:pStyle w:val="ad"/>
        <w:rPr>
          <w:rFonts w:ascii="Arial" w:hAnsi="Arial"/>
          <w:noProof w:val="0"/>
          <w:sz w:val="26"/>
          <w:szCs w:val="26"/>
          <w:rtl/>
        </w:rPr>
      </w:pPr>
    </w:p>
    <w:p w:rsidR="004355D9" w:rsidRDefault="004355D9" w:rsidP="00CB53F2">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כפי שיפורט בהמשך הדברים, טיע</w:t>
      </w:r>
      <w:r w:rsidR="00CB53F2">
        <w:rPr>
          <w:rFonts w:ascii="Arial" w:hAnsi="Arial" w:hint="cs"/>
          <w:noProof w:val="0"/>
          <w:sz w:val="26"/>
          <w:szCs w:val="26"/>
          <w:rtl/>
        </w:rPr>
        <w:t>ונם</w:t>
      </w:r>
      <w:r w:rsidR="00544894">
        <w:rPr>
          <w:rFonts w:ascii="Arial" w:hAnsi="Arial" w:hint="cs"/>
          <w:noProof w:val="0"/>
          <w:sz w:val="26"/>
          <w:szCs w:val="26"/>
          <w:rtl/>
        </w:rPr>
        <w:t xml:space="preserve"> המרכזי של העוררים</w:t>
      </w:r>
      <w:r w:rsidR="00CD5DEB">
        <w:rPr>
          <w:rFonts w:ascii="Arial" w:hAnsi="Arial" w:hint="cs"/>
          <w:noProof w:val="0"/>
          <w:sz w:val="26"/>
          <w:szCs w:val="26"/>
          <w:rtl/>
        </w:rPr>
        <w:t xml:space="preserve"> הוא כי מאז</w:t>
      </w:r>
      <w:r>
        <w:rPr>
          <w:rFonts w:ascii="Arial" w:hAnsi="Arial" w:hint="cs"/>
          <w:noProof w:val="0"/>
          <w:sz w:val="26"/>
          <w:szCs w:val="26"/>
          <w:rtl/>
        </w:rPr>
        <w:t xml:space="preserve"> חקיקתו של תיקון מס' 168 לפקודת מס הכנסה בשנת 20</w:t>
      </w:r>
      <w:r w:rsidR="00CB53F2">
        <w:rPr>
          <w:rFonts w:ascii="Arial" w:hAnsi="Arial" w:hint="cs"/>
          <w:noProof w:val="0"/>
          <w:sz w:val="26"/>
          <w:szCs w:val="26"/>
          <w:rtl/>
        </w:rPr>
        <w:t>0</w:t>
      </w:r>
      <w:r>
        <w:rPr>
          <w:rFonts w:ascii="Arial" w:hAnsi="Arial" w:hint="cs"/>
          <w:noProof w:val="0"/>
          <w:sz w:val="26"/>
          <w:szCs w:val="26"/>
          <w:rtl/>
        </w:rPr>
        <w:t>8, הושווה מעמדם לצורכי מס של "תושב ישראל לראשונה" ושל "</w:t>
      </w:r>
      <w:r w:rsidR="00CD5DEB">
        <w:rPr>
          <w:rFonts w:ascii="Arial" w:hAnsi="Arial" w:hint="cs"/>
          <w:noProof w:val="0"/>
          <w:sz w:val="26"/>
          <w:szCs w:val="26"/>
          <w:rtl/>
        </w:rPr>
        <w:t>תושב חוזר</w:t>
      </w:r>
      <w:r>
        <w:rPr>
          <w:rFonts w:ascii="Arial" w:hAnsi="Arial" w:hint="cs"/>
          <w:noProof w:val="0"/>
          <w:sz w:val="26"/>
          <w:szCs w:val="26"/>
          <w:rtl/>
        </w:rPr>
        <w:t xml:space="preserve"> ותיק". על פי הטענה</w:t>
      </w:r>
      <w:r w:rsidR="00DC2EB1">
        <w:rPr>
          <w:rFonts w:ascii="Arial" w:hAnsi="Arial" w:hint="cs"/>
          <w:noProof w:val="0"/>
          <w:sz w:val="26"/>
          <w:szCs w:val="26"/>
          <w:rtl/>
        </w:rPr>
        <w:t>,</w:t>
      </w:r>
      <w:r>
        <w:rPr>
          <w:rFonts w:ascii="Arial" w:hAnsi="Arial" w:hint="cs"/>
          <w:noProof w:val="0"/>
          <w:sz w:val="26"/>
          <w:szCs w:val="26"/>
          <w:rtl/>
        </w:rPr>
        <w:t xml:space="preserve"> רפורמה זו משפיעה גם על הפרשנות הנכונה שיש לתת תקנה 12 לתקנות מס הרכישה, ואם נאמר שם "עולה", הרי היום יש לפרש מונח זה ככולל תושב חוזר ותיק</w:t>
      </w:r>
      <w:r w:rsidR="00CD5DEB">
        <w:rPr>
          <w:rFonts w:ascii="Arial" w:hAnsi="Arial" w:hint="cs"/>
          <w:noProof w:val="0"/>
          <w:sz w:val="26"/>
          <w:szCs w:val="26"/>
          <w:rtl/>
        </w:rPr>
        <w:t xml:space="preserve">. </w:t>
      </w:r>
    </w:p>
    <w:p w:rsidR="00CD5DEB" w:rsidRDefault="00CD5DEB" w:rsidP="00CD5DEB">
      <w:pPr>
        <w:pStyle w:val="ad"/>
        <w:spacing w:line="360" w:lineRule="auto"/>
        <w:ind w:left="587"/>
        <w:jc w:val="both"/>
        <w:rPr>
          <w:rFonts w:ascii="Arial" w:hAnsi="Arial"/>
          <w:noProof w:val="0"/>
          <w:sz w:val="26"/>
          <w:szCs w:val="26"/>
          <w:rtl/>
        </w:rPr>
      </w:pPr>
    </w:p>
    <w:p w:rsidR="00CD5DEB" w:rsidRDefault="00CD5DEB" w:rsidP="00D75759">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אקדים ואומר כי לדעתי </w:t>
      </w:r>
      <w:r w:rsidR="00544894">
        <w:rPr>
          <w:rFonts w:ascii="Arial" w:hAnsi="Arial" w:hint="cs"/>
          <w:noProof w:val="0"/>
          <w:sz w:val="26"/>
          <w:szCs w:val="26"/>
          <w:rtl/>
        </w:rPr>
        <w:t>אין בסיס משפטי לקבלת גישת העוררים</w:t>
      </w:r>
      <w:r>
        <w:rPr>
          <w:rFonts w:ascii="Arial" w:hAnsi="Arial" w:hint="cs"/>
          <w:noProof w:val="0"/>
          <w:sz w:val="26"/>
          <w:szCs w:val="26"/>
          <w:rtl/>
        </w:rPr>
        <w:t xml:space="preserve"> וכי לשונה הברורה של תקנה 12 איננה מותירה מקום </w:t>
      </w:r>
      <w:r w:rsidR="00544894">
        <w:rPr>
          <w:rFonts w:ascii="Arial" w:hAnsi="Arial" w:hint="cs"/>
          <w:noProof w:val="0"/>
          <w:sz w:val="26"/>
          <w:szCs w:val="26"/>
          <w:rtl/>
        </w:rPr>
        <w:t>לפירוש מרחיב כמוצע על ידי העוררים</w:t>
      </w:r>
      <w:r>
        <w:rPr>
          <w:rFonts w:ascii="Arial" w:hAnsi="Arial" w:hint="cs"/>
          <w:noProof w:val="0"/>
          <w:sz w:val="26"/>
          <w:szCs w:val="26"/>
          <w:rtl/>
        </w:rPr>
        <w:t xml:space="preserve">. </w:t>
      </w:r>
    </w:p>
    <w:p w:rsidR="00CD5DEB" w:rsidRPr="00CD5DEB" w:rsidRDefault="00CD5DEB" w:rsidP="00CD5DEB">
      <w:pPr>
        <w:pStyle w:val="ad"/>
        <w:rPr>
          <w:rFonts w:ascii="Arial" w:hAnsi="Arial"/>
          <w:noProof w:val="0"/>
          <w:sz w:val="26"/>
          <w:szCs w:val="26"/>
          <w:rtl/>
        </w:rPr>
      </w:pPr>
    </w:p>
    <w:p w:rsidR="00D75759" w:rsidRPr="00D75759" w:rsidRDefault="00CD5DEB" w:rsidP="00CD5DEB">
      <w:pPr>
        <w:pStyle w:val="ad"/>
        <w:numPr>
          <w:ilvl w:val="0"/>
          <w:numId w:val="1"/>
        </w:numPr>
        <w:spacing w:line="360" w:lineRule="auto"/>
        <w:jc w:val="both"/>
        <w:rPr>
          <w:rFonts w:ascii="Arial" w:hAnsi="Arial"/>
          <w:b/>
          <w:bCs/>
          <w:noProof w:val="0"/>
          <w:sz w:val="32"/>
          <w:szCs w:val="32"/>
        </w:rPr>
      </w:pPr>
      <w:r>
        <w:rPr>
          <w:rFonts w:ascii="Arial" w:hAnsi="Arial" w:hint="cs"/>
          <w:b/>
          <w:bCs/>
          <w:noProof w:val="0"/>
          <w:sz w:val="32"/>
          <w:szCs w:val="32"/>
          <w:u w:val="single"/>
          <w:rtl/>
        </w:rPr>
        <w:t>ההקלה במס רכישה ל"עולה"</w:t>
      </w:r>
    </w:p>
    <w:p w:rsidR="00B57180" w:rsidRPr="00B57180" w:rsidRDefault="00CD5DEB" w:rsidP="00B57180">
      <w:pPr>
        <w:pStyle w:val="ad"/>
        <w:numPr>
          <w:ilvl w:val="0"/>
          <w:numId w:val="2"/>
        </w:numPr>
        <w:spacing w:line="360" w:lineRule="auto"/>
        <w:ind w:left="587"/>
        <w:jc w:val="both"/>
        <w:rPr>
          <w:rFonts w:ascii="David" w:hAnsi="David"/>
          <w:b/>
          <w:bCs/>
          <w:sz w:val="32"/>
          <w:szCs w:val="32"/>
          <w:rtl/>
        </w:rPr>
      </w:pPr>
      <w:r w:rsidRPr="00B57180">
        <w:rPr>
          <w:rFonts w:ascii="Arial" w:hAnsi="Arial" w:hint="cs"/>
          <w:noProof w:val="0"/>
          <w:sz w:val="26"/>
          <w:szCs w:val="26"/>
          <w:rtl/>
        </w:rPr>
        <w:t xml:space="preserve">סעיף 9(ד) לחוק מיסוי מקרקעין (שבח ורכישה), התשכ"ג-1963 מסמיך את שר </w:t>
      </w:r>
      <w:r>
        <w:rPr>
          <w:rFonts w:ascii="Arial" w:hAnsi="Arial" w:hint="cs"/>
          <w:noProof w:val="0"/>
          <w:sz w:val="26"/>
          <w:szCs w:val="26"/>
          <w:rtl/>
        </w:rPr>
        <w:t>האוצר, באישור ועדת הכספים של הכנסת</w:t>
      </w:r>
      <w:r w:rsidR="004A2BBD">
        <w:rPr>
          <w:rFonts w:ascii="Arial" w:hAnsi="Arial" w:hint="cs"/>
          <w:noProof w:val="0"/>
          <w:sz w:val="26"/>
          <w:szCs w:val="26"/>
          <w:rtl/>
        </w:rPr>
        <w:t>,</w:t>
      </w:r>
      <w:r w:rsidR="00B57180">
        <w:rPr>
          <w:rFonts w:ascii="Arial" w:hAnsi="Arial" w:hint="cs"/>
          <w:noProof w:val="0"/>
          <w:sz w:val="26"/>
          <w:szCs w:val="26"/>
          <w:rtl/>
        </w:rPr>
        <w:t xml:space="preserve"> </w:t>
      </w:r>
      <w:r w:rsidR="00B57180" w:rsidRPr="00B57180">
        <w:rPr>
          <w:rFonts w:ascii="David" w:hAnsi="David"/>
          <w:b/>
          <w:bCs/>
          <w:color w:val="000000"/>
          <w:sz w:val="26"/>
          <w:szCs w:val="26"/>
          <w:rtl/>
        </w:rPr>
        <w:t>"לקבוע כללים למתן פטור ממס הרכישה, כולו או מקצתו, ורשאי הוא לקבוע, באישור כאמור, כללים שונים לסוגי חייבים ולסוגי מקרקעין</w:t>
      </w:r>
      <w:r w:rsidR="00B57180" w:rsidRPr="00B57180">
        <w:rPr>
          <w:rFonts w:ascii="David" w:hAnsi="David"/>
          <w:b/>
          <w:bCs/>
          <w:color w:val="000000"/>
          <w:sz w:val="26"/>
          <w:szCs w:val="26"/>
        </w:rPr>
        <w:t>.</w:t>
      </w:r>
      <w:r w:rsidR="00B57180" w:rsidRPr="00B57180">
        <w:rPr>
          <w:rFonts w:ascii="David" w:hAnsi="David"/>
          <w:b/>
          <w:bCs/>
          <w:color w:val="000000"/>
          <w:sz w:val="26"/>
          <w:szCs w:val="26"/>
          <w:rtl/>
        </w:rPr>
        <w:t>"</w:t>
      </w:r>
    </w:p>
    <w:p w:rsidR="00B57180" w:rsidRPr="00B57180" w:rsidRDefault="00B57180" w:rsidP="00B57180">
      <w:pPr>
        <w:pStyle w:val="ad"/>
        <w:ind w:left="1440"/>
        <w:rPr>
          <w:rFonts w:ascii="Arial" w:hAnsi="Arial" w:cs="Arial"/>
          <w:b/>
          <w:bCs/>
          <w:sz w:val="32"/>
          <w:szCs w:val="32"/>
          <w:rtl/>
        </w:rPr>
      </w:pPr>
    </w:p>
    <w:p w:rsidR="00CD5DEB" w:rsidRDefault="00CD5DEB" w:rsidP="00CD5DEB">
      <w:pPr>
        <w:pStyle w:val="ad"/>
        <w:spacing w:line="360" w:lineRule="auto"/>
        <w:ind w:left="587"/>
        <w:jc w:val="both"/>
        <w:rPr>
          <w:rFonts w:ascii="Arial" w:hAnsi="Arial"/>
          <w:noProof w:val="0"/>
          <w:sz w:val="26"/>
          <w:szCs w:val="26"/>
          <w:rtl/>
        </w:rPr>
      </w:pPr>
      <w:r>
        <w:rPr>
          <w:rFonts w:ascii="Arial" w:hAnsi="Arial" w:hint="cs"/>
          <w:noProof w:val="0"/>
          <w:sz w:val="26"/>
          <w:szCs w:val="26"/>
          <w:rtl/>
        </w:rPr>
        <w:t>מכוח סמכות זו, הותקנה, בין היתר, תקנה 12</w:t>
      </w:r>
      <w:r w:rsidR="004A2BBD">
        <w:rPr>
          <w:rFonts w:ascii="Arial" w:hAnsi="Arial" w:hint="cs"/>
          <w:noProof w:val="0"/>
          <w:sz w:val="26"/>
          <w:szCs w:val="26"/>
          <w:rtl/>
        </w:rPr>
        <w:t>.</w:t>
      </w:r>
      <w:r>
        <w:rPr>
          <w:rFonts w:ascii="Arial" w:hAnsi="Arial" w:hint="cs"/>
          <w:noProof w:val="0"/>
          <w:sz w:val="26"/>
          <w:szCs w:val="26"/>
          <w:rtl/>
        </w:rPr>
        <w:t xml:space="preserve"> במועד הרלבנטי לערר זה (פברואר 2021)</w:t>
      </w:r>
      <w:r w:rsidR="00E24FE2">
        <w:rPr>
          <w:rFonts w:ascii="Arial" w:hAnsi="Arial" w:hint="cs"/>
          <w:noProof w:val="0"/>
          <w:sz w:val="26"/>
          <w:szCs w:val="26"/>
          <w:rtl/>
        </w:rPr>
        <w:t>, התקנה העניקה הקלה זו:</w:t>
      </w:r>
    </w:p>
    <w:p w:rsidR="00E24FE2" w:rsidRDefault="00E24FE2" w:rsidP="00B57180">
      <w:pPr>
        <w:pStyle w:val="ad"/>
        <w:spacing w:line="360" w:lineRule="auto"/>
        <w:ind w:left="1134" w:right="567"/>
        <w:jc w:val="both"/>
        <w:rPr>
          <w:rFonts w:ascii="Arial" w:hAnsi="Arial"/>
          <w:noProof w:val="0"/>
          <w:sz w:val="26"/>
          <w:szCs w:val="26"/>
          <w:rtl/>
        </w:rPr>
      </w:pPr>
    </w:p>
    <w:p w:rsidR="00FE2848" w:rsidRPr="007030A8" w:rsidRDefault="00B57180" w:rsidP="007030A8">
      <w:pPr>
        <w:pStyle w:val="ad"/>
        <w:spacing w:line="360" w:lineRule="auto"/>
        <w:ind w:left="1134" w:right="567"/>
        <w:jc w:val="both"/>
        <w:rPr>
          <w:rFonts w:ascii="Arial" w:hAnsi="Arial"/>
          <w:b/>
          <w:bCs/>
          <w:noProof w:val="0"/>
          <w:sz w:val="26"/>
          <w:szCs w:val="26"/>
          <w:rtl/>
        </w:rPr>
      </w:pPr>
      <w:r w:rsidRPr="00FE2848">
        <w:rPr>
          <w:rFonts w:ascii="Arial" w:hAnsi="Arial" w:hint="cs"/>
          <w:b/>
          <w:bCs/>
          <w:noProof w:val="0"/>
          <w:sz w:val="26"/>
          <w:szCs w:val="26"/>
          <w:rtl/>
        </w:rPr>
        <w:t>"(ב) מכירת זכות במקרק</w:t>
      </w:r>
      <w:r w:rsidR="00FE2848" w:rsidRPr="00FE2848">
        <w:rPr>
          <w:rFonts w:ascii="Arial" w:hAnsi="Arial" w:hint="cs"/>
          <w:b/>
          <w:bCs/>
          <w:noProof w:val="0"/>
          <w:sz w:val="26"/>
          <w:szCs w:val="26"/>
          <w:rtl/>
        </w:rPr>
        <w:t xml:space="preserve">עין לעולה תהא חייבת במס רכישה על חלק השווי שעד </w:t>
      </w:r>
      <w:r w:rsidR="004A2BBD" w:rsidRPr="007030A8">
        <w:rPr>
          <w:rFonts w:ascii="Arial" w:hAnsi="Arial" w:hint="cs"/>
          <w:noProof w:val="0"/>
          <w:sz w:val="26"/>
          <w:szCs w:val="26"/>
          <w:rtl/>
        </w:rPr>
        <w:t>[סכום]</w:t>
      </w:r>
      <w:r w:rsidR="00FE2848" w:rsidRPr="00FE2848">
        <w:rPr>
          <w:rFonts w:ascii="Arial" w:hAnsi="Arial" w:hint="cs"/>
          <w:b/>
          <w:bCs/>
          <w:noProof w:val="0"/>
          <w:sz w:val="26"/>
          <w:szCs w:val="26"/>
          <w:rtl/>
        </w:rPr>
        <w:t xml:space="preserve"> שקלים חדשים בשיעור של 0.5% ועל חלק השווי העולה על סכום כאמור בשיעור של 5%, ובלבד שרכש אותה העולה תוך תקופה המתחילה שנה אחת לפני שנכנס לישראל, כאמור בתקנת משנה </w:t>
      </w:r>
      <w:r w:rsidR="004A2BBD">
        <w:rPr>
          <w:rFonts w:ascii="Arial" w:hAnsi="Arial" w:hint="cs"/>
          <w:b/>
          <w:bCs/>
          <w:noProof w:val="0"/>
          <w:sz w:val="26"/>
          <w:szCs w:val="26"/>
          <w:rtl/>
        </w:rPr>
        <w:t>(א)</w:t>
      </w:r>
      <w:r w:rsidR="007030A8">
        <w:rPr>
          <w:rFonts w:ascii="Arial" w:hAnsi="Arial" w:hint="cs"/>
          <w:b/>
          <w:bCs/>
          <w:noProof w:val="0"/>
          <w:sz w:val="26"/>
          <w:szCs w:val="26"/>
          <w:rtl/>
        </w:rPr>
        <w:t>,</w:t>
      </w:r>
      <w:r w:rsidR="00FE2848" w:rsidRPr="00FE2848">
        <w:rPr>
          <w:rFonts w:ascii="Arial" w:hAnsi="Arial" w:hint="cs"/>
          <w:b/>
          <w:bCs/>
          <w:noProof w:val="0"/>
          <w:sz w:val="26"/>
          <w:szCs w:val="26"/>
          <w:rtl/>
        </w:rPr>
        <w:t xml:space="preserve"> לראשונה</w:t>
      </w:r>
      <w:r w:rsidR="007030A8">
        <w:rPr>
          <w:rFonts w:ascii="Arial" w:hAnsi="Arial" w:hint="cs"/>
          <w:b/>
          <w:bCs/>
          <w:noProof w:val="0"/>
          <w:sz w:val="26"/>
          <w:szCs w:val="26"/>
          <w:rtl/>
        </w:rPr>
        <w:t xml:space="preserve"> </w:t>
      </w:r>
      <w:r w:rsidR="00FE2848" w:rsidRPr="00FE2848">
        <w:rPr>
          <w:rFonts w:ascii="Arial" w:hAnsi="Arial" w:hint="cs"/>
          <w:b/>
          <w:bCs/>
          <w:noProof w:val="0"/>
          <w:sz w:val="26"/>
          <w:szCs w:val="26"/>
          <w:rtl/>
        </w:rPr>
        <w:t>ומסתיימת שבע שנים לאחר כניסתו כאמור ובלבד שלא תובא במנין שבע הש</w:t>
      </w:r>
      <w:r w:rsidR="004A2BBD">
        <w:rPr>
          <w:rFonts w:ascii="Arial" w:hAnsi="Arial" w:hint="cs"/>
          <w:b/>
          <w:bCs/>
          <w:noProof w:val="0"/>
          <w:sz w:val="26"/>
          <w:szCs w:val="26"/>
          <w:rtl/>
        </w:rPr>
        <w:t>נים תקופת שירותו בשירות חובה...או בשירות לאומי...;</w:t>
      </w:r>
      <w:r w:rsidR="00FE2848" w:rsidRPr="00FE2848">
        <w:rPr>
          <w:rFonts w:ascii="Arial" w:hAnsi="Arial" w:hint="cs"/>
          <w:b/>
          <w:bCs/>
          <w:noProof w:val="0"/>
          <w:sz w:val="26"/>
          <w:szCs w:val="26"/>
          <w:rtl/>
        </w:rPr>
        <w:t xml:space="preserve"> </w:t>
      </w:r>
      <w:r w:rsidR="00FE2848" w:rsidRPr="007030A8">
        <w:rPr>
          <w:rFonts w:ascii="Arial" w:hAnsi="Arial" w:hint="cs"/>
          <w:b/>
          <w:bCs/>
          <w:noProof w:val="0"/>
          <w:sz w:val="26"/>
          <w:szCs w:val="26"/>
          <w:rtl/>
        </w:rPr>
        <w:t>החיוב במס רכישה לפי תקנת משנה זו יחול רק על מכירת זכות במקרקעין מאלה:</w:t>
      </w:r>
    </w:p>
    <w:p w:rsidR="00FE2848" w:rsidRPr="00FE2848" w:rsidRDefault="00FE2848" w:rsidP="00FE2848">
      <w:pPr>
        <w:pStyle w:val="ad"/>
        <w:numPr>
          <w:ilvl w:val="0"/>
          <w:numId w:val="8"/>
        </w:numPr>
        <w:spacing w:line="360" w:lineRule="auto"/>
        <w:ind w:right="567"/>
        <w:jc w:val="both"/>
        <w:rPr>
          <w:rFonts w:ascii="Arial" w:hAnsi="Arial"/>
          <w:b/>
          <w:bCs/>
          <w:noProof w:val="0"/>
          <w:sz w:val="26"/>
          <w:szCs w:val="26"/>
          <w:rtl/>
        </w:rPr>
      </w:pPr>
      <w:r w:rsidRPr="00FE2848">
        <w:rPr>
          <w:rFonts w:ascii="Arial" w:hAnsi="Arial" w:hint="cs"/>
          <w:b/>
          <w:bCs/>
          <w:noProof w:val="0"/>
          <w:sz w:val="26"/>
          <w:szCs w:val="26"/>
          <w:rtl/>
        </w:rPr>
        <w:t>דירת מגורים, או דירה המשמשת למגורים ולעסק כאחד, על מנת שתשמש למגורי העולה או למגוריו ולעסקו כאחד;</w:t>
      </w:r>
      <w:r>
        <w:rPr>
          <w:rFonts w:ascii="Arial" w:hAnsi="Arial" w:hint="cs"/>
          <w:b/>
          <w:bCs/>
          <w:noProof w:val="0"/>
          <w:sz w:val="26"/>
          <w:szCs w:val="26"/>
          <w:rtl/>
        </w:rPr>
        <w:t>"</w:t>
      </w:r>
    </w:p>
    <w:p w:rsidR="00E24FE2" w:rsidRDefault="00E24FE2" w:rsidP="00CD5DEB">
      <w:pPr>
        <w:pStyle w:val="ad"/>
        <w:spacing w:line="360" w:lineRule="auto"/>
        <w:ind w:left="587"/>
        <w:jc w:val="both"/>
        <w:rPr>
          <w:rFonts w:ascii="Arial" w:hAnsi="Arial"/>
          <w:noProof w:val="0"/>
          <w:sz w:val="26"/>
          <w:szCs w:val="26"/>
          <w:rtl/>
        </w:rPr>
      </w:pPr>
    </w:p>
    <w:p w:rsidR="00E24FE2" w:rsidRDefault="00E24FE2" w:rsidP="00CD5DEB">
      <w:pPr>
        <w:pStyle w:val="ad"/>
        <w:spacing w:line="360" w:lineRule="auto"/>
        <w:ind w:left="587"/>
        <w:jc w:val="both"/>
        <w:rPr>
          <w:rFonts w:ascii="Arial" w:hAnsi="Arial"/>
          <w:noProof w:val="0"/>
          <w:sz w:val="26"/>
          <w:szCs w:val="26"/>
          <w:rtl/>
        </w:rPr>
      </w:pPr>
      <w:r>
        <w:rPr>
          <w:rFonts w:ascii="Arial" w:hAnsi="Arial" w:hint="cs"/>
          <w:noProof w:val="0"/>
          <w:sz w:val="26"/>
          <w:szCs w:val="26"/>
          <w:rtl/>
        </w:rPr>
        <w:t>תקנת משנה (ד) מסייגת את אפשרות ניצול ההקלה בקובעה:</w:t>
      </w:r>
    </w:p>
    <w:p w:rsidR="00FE2848" w:rsidRDefault="00FE2848" w:rsidP="00FE2848">
      <w:pPr>
        <w:pStyle w:val="ad"/>
        <w:spacing w:line="360" w:lineRule="auto"/>
        <w:ind w:left="1134" w:right="567"/>
        <w:jc w:val="both"/>
        <w:rPr>
          <w:rFonts w:ascii="Arial" w:hAnsi="Arial"/>
          <w:b/>
          <w:bCs/>
          <w:noProof w:val="0"/>
          <w:sz w:val="26"/>
          <w:szCs w:val="26"/>
          <w:rtl/>
        </w:rPr>
      </w:pPr>
    </w:p>
    <w:p w:rsidR="00E24FE2" w:rsidRDefault="00FE2848" w:rsidP="004A2BBD">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"חיוב במס רכישה לפי תקנה זו לא יינתן לעולה אלא פעם אחת לגבי דירה ופעם אחת לגבי בית עסק</w:t>
      </w:r>
      <w:r w:rsidR="004A2BBD">
        <w:rPr>
          <w:rFonts w:ascii="Arial" w:hAnsi="Arial" w:hint="cs"/>
          <w:b/>
          <w:bCs/>
          <w:noProof w:val="0"/>
          <w:sz w:val="26"/>
          <w:szCs w:val="26"/>
          <w:rtl/>
        </w:rPr>
        <w:t>..."</w:t>
      </w:r>
      <w:r>
        <w:rPr>
          <w:rFonts w:ascii="Arial" w:hAnsi="Arial" w:hint="cs"/>
          <w:b/>
          <w:bCs/>
          <w:noProof w:val="0"/>
          <w:sz w:val="26"/>
          <w:szCs w:val="26"/>
          <w:rtl/>
        </w:rPr>
        <w:t xml:space="preserve"> </w:t>
      </w:r>
    </w:p>
    <w:p w:rsidR="004A2BBD" w:rsidRPr="00FE2848" w:rsidRDefault="004A2BBD" w:rsidP="004A2BBD">
      <w:pPr>
        <w:pStyle w:val="ad"/>
        <w:spacing w:line="360" w:lineRule="auto"/>
        <w:ind w:left="1134" w:right="567"/>
        <w:jc w:val="both"/>
        <w:rPr>
          <w:rFonts w:ascii="Arial" w:hAnsi="Arial"/>
          <w:b/>
          <w:bCs/>
          <w:noProof w:val="0"/>
          <w:sz w:val="26"/>
          <w:szCs w:val="26"/>
          <w:rtl/>
        </w:rPr>
      </w:pPr>
    </w:p>
    <w:p w:rsidR="004A2BBD" w:rsidRPr="004A2BBD" w:rsidRDefault="004A2BBD" w:rsidP="004A2BB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אשר למטרת תקנה 12, כבר נפסק כי </w:t>
      </w:r>
      <w:r>
        <w:rPr>
          <w:rFonts w:ascii="Arial" w:hAnsi="Arial" w:hint="cs"/>
          <w:b/>
          <w:bCs/>
          <w:noProof w:val="0"/>
          <w:sz w:val="26"/>
          <w:szCs w:val="26"/>
          <w:rtl/>
        </w:rPr>
        <w:t>"... המחוקק ביקש להשיג שתי תכליות באמצעות ההקלה במס רכישה הניתנת לעולה חדש הרוכש דירת מגורים בישראל: עידוד העלייה לישראל וההשתקעות בה והשנייה, מתן סיוע סוציאלי לעולה החדש בצעדיו הראשונים בישראל"</w:t>
      </w:r>
      <w:r>
        <w:rPr>
          <w:rFonts w:ascii="Arial" w:hAnsi="Arial" w:hint="cs"/>
          <w:noProof w:val="0"/>
          <w:sz w:val="26"/>
          <w:szCs w:val="26"/>
          <w:rtl/>
        </w:rPr>
        <w:t xml:space="preserve"> (מתוך סעיף 19 לפסק דינה של כבוד השופטת סרוסי בו"ע 29881-03-18 </w:t>
      </w:r>
      <w:r w:rsidR="00776C70">
        <w:rPr>
          <w:rFonts w:ascii="Arial" w:hAnsi="Arial" w:hint="cs"/>
          <w:b/>
          <w:bCs/>
          <w:noProof w:val="0"/>
          <w:sz w:val="26"/>
          <w:szCs w:val="26"/>
          <w:rtl/>
        </w:rPr>
        <w:t>אלל</w:t>
      </w:r>
      <w:r w:rsidR="00340003">
        <w:rPr>
          <w:rFonts w:ascii="Arial" w:hAnsi="Arial" w:hint="cs"/>
          <w:b/>
          <w:bCs/>
          <w:noProof w:val="0"/>
          <w:sz w:val="26"/>
          <w:szCs w:val="26"/>
          <w:rtl/>
        </w:rPr>
        <w:t xml:space="preserve"> נ' מנהל מיסוי מקרקעין תל אביב</w:t>
      </w:r>
      <w:r w:rsidR="00340003">
        <w:rPr>
          <w:rFonts w:ascii="Arial" w:hAnsi="Arial" w:hint="cs"/>
          <w:noProof w:val="0"/>
          <w:sz w:val="26"/>
          <w:szCs w:val="26"/>
          <w:rtl/>
        </w:rPr>
        <w:t xml:space="preserve">, ניתן ביום 24.12.2018, וראו </w:t>
      </w:r>
      <w:r w:rsidR="00A1212F">
        <w:rPr>
          <w:rFonts w:ascii="Arial" w:hAnsi="Arial" w:hint="cs"/>
          <w:noProof w:val="0"/>
          <w:sz w:val="26"/>
          <w:szCs w:val="26"/>
          <w:rtl/>
        </w:rPr>
        <w:t xml:space="preserve">שם </w:t>
      </w:r>
      <w:r w:rsidR="00340003">
        <w:rPr>
          <w:rFonts w:ascii="Arial" w:hAnsi="Arial" w:hint="cs"/>
          <w:noProof w:val="0"/>
          <w:sz w:val="26"/>
          <w:szCs w:val="26"/>
          <w:rtl/>
        </w:rPr>
        <w:t>ס</w:t>
      </w:r>
      <w:r w:rsidR="00A1212F">
        <w:rPr>
          <w:rFonts w:ascii="Arial" w:hAnsi="Arial" w:hint="cs"/>
          <w:noProof w:val="0"/>
          <w:sz w:val="26"/>
          <w:szCs w:val="26"/>
          <w:rtl/>
        </w:rPr>
        <w:t>קירת תולדות חקיקתה של תקנה 12</w:t>
      </w:r>
      <w:r w:rsidR="00340003">
        <w:rPr>
          <w:rFonts w:ascii="Arial" w:hAnsi="Arial" w:hint="cs"/>
          <w:noProof w:val="0"/>
          <w:sz w:val="26"/>
          <w:szCs w:val="26"/>
          <w:rtl/>
        </w:rPr>
        <w:t xml:space="preserve">). </w:t>
      </w:r>
    </w:p>
    <w:p w:rsidR="00E24FE2" w:rsidRDefault="004A2BBD" w:rsidP="004A2BBD">
      <w:pPr>
        <w:pStyle w:val="ad"/>
        <w:spacing w:line="360" w:lineRule="auto"/>
        <w:ind w:left="587"/>
        <w:jc w:val="both"/>
        <w:rPr>
          <w:rFonts w:ascii="Arial" w:hAnsi="Arial"/>
          <w:noProof w:val="0"/>
          <w:sz w:val="26"/>
          <w:szCs w:val="26"/>
        </w:rPr>
      </w:pPr>
      <w:r>
        <w:rPr>
          <w:rFonts w:ascii="Arial" w:hAnsi="Arial" w:hint="cs"/>
          <w:b/>
          <w:bCs/>
          <w:noProof w:val="0"/>
          <w:sz w:val="26"/>
          <w:szCs w:val="26"/>
          <w:rtl/>
        </w:rPr>
        <w:t xml:space="preserve">  </w:t>
      </w:r>
    </w:p>
    <w:p w:rsidR="00E24FE2" w:rsidRDefault="00E24FE2" w:rsidP="00D75759">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מיהו ה"עולה" ש</w:t>
      </w:r>
      <w:r w:rsidR="00D42F5D">
        <w:rPr>
          <w:rFonts w:ascii="Arial" w:hAnsi="Arial" w:hint="cs"/>
          <w:noProof w:val="0"/>
          <w:sz w:val="26"/>
          <w:szCs w:val="26"/>
          <w:rtl/>
        </w:rPr>
        <w:t>זכאי ליהנות מההקלה הניתנת לפי ת</w:t>
      </w:r>
      <w:r>
        <w:rPr>
          <w:rFonts w:ascii="Arial" w:hAnsi="Arial" w:hint="cs"/>
          <w:noProof w:val="0"/>
          <w:sz w:val="26"/>
          <w:szCs w:val="26"/>
          <w:rtl/>
        </w:rPr>
        <w:t xml:space="preserve">קנה 12? </w:t>
      </w:r>
    </w:p>
    <w:p w:rsidR="00E24FE2" w:rsidRPr="00D65DCE" w:rsidRDefault="00E24FE2" w:rsidP="00E24FE2">
      <w:pPr>
        <w:pStyle w:val="ad"/>
        <w:spacing w:line="360" w:lineRule="auto"/>
        <w:ind w:left="587"/>
        <w:jc w:val="both"/>
        <w:rPr>
          <w:rFonts w:ascii="Arial" w:hAnsi="Arial"/>
          <w:noProof w:val="0"/>
          <w:sz w:val="26"/>
          <w:szCs w:val="26"/>
          <w:rtl/>
        </w:rPr>
      </w:pPr>
    </w:p>
    <w:p w:rsidR="00D75759" w:rsidRDefault="00E24FE2" w:rsidP="00E24FE2">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מענה </w:t>
      </w:r>
      <w:r w:rsidR="00D42F5D">
        <w:rPr>
          <w:rFonts w:ascii="Arial" w:hAnsi="Arial" w:hint="cs"/>
          <w:noProof w:val="0"/>
          <w:sz w:val="26"/>
          <w:szCs w:val="26"/>
          <w:rtl/>
        </w:rPr>
        <w:t>לשאלה זו ניתן בתקנת</w:t>
      </w:r>
      <w:r>
        <w:rPr>
          <w:rFonts w:ascii="Arial" w:hAnsi="Arial" w:hint="cs"/>
          <w:noProof w:val="0"/>
          <w:sz w:val="26"/>
          <w:szCs w:val="26"/>
          <w:rtl/>
        </w:rPr>
        <w:t xml:space="preserve"> משנה (א): </w:t>
      </w:r>
    </w:p>
    <w:p w:rsidR="00811D32" w:rsidRPr="00D75759" w:rsidRDefault="00811D32" w:rsidP="00E24FE2">
      <w:pPr>
        <w:pStyle w:val="ad"/>
        <w:spacing w:line="360" w:lineRule="auto"/>
        <w:ind w:left="587"/>
        <w:jc w:val="both"/>
        <w:rPr>
          <w:rFonts w:ascii="Arial" w:hAnsi="Arial"/>
          <w:noProof w:val="0"/>
          <w:sz w:val="26"/>
          <w:szCs w:val="26"/>
        </w:rPr>
      </w:pPr>
    </w:p>
    <w:p w:rsidR="00D75759" w:rsidRDefault="00D65DCE" w:rsidP="00D65DCE">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"(1) בתקנה זו, 'עולה' </w:t>
      </w:r>
      <w:r>
        <w:rPr>
          <w:rFonts w:ascii="Arial" w:hAnsi="Arial"/>
          <w:b/>
          <w:bCs/>
          <w:noProof w:val="0"/>
          <w:sz w:val="26"/>
          <w:szCs w:val="26"/>
          <w:rtl/>
        </w:rPr>
        <w:t>–</w:t>
      </w:r>
      <w:r>
        <w:rPr>
          <w:rFonts w:ascii="Arial" w:hAnsi="Arial" w:hint="cs"/>
          <w:b/>
          <w:bCs/>
          <w:noProof w:val="0"/>
          <w:sz w:val="26"/>
          <w:szCs w:val="26"/>
          <w:rtl/>
        </w:rPr>
        <w:t xml:space="preserve"> מי שנכנס לישראל אחרי יום ד' באדר התשכ"ג</w:t>
      </w:r>
      <w:r w:rsidR="007A39C3">
        <w:rPr>
          <w:rFonts w:ascii="Arial" w:hAnsi="Arial" w:hint="cs"/>
          <w:b/>
          <w:bCs/>
          <w:noProof w:val="0"/>
          <w:sz w:val="26"/>
          <w:szCs w:val="26"/>
          <w:rtl/>
        </w:rPr>
        <w:t xml:space="preserve"> </w:t>
      </w:r>
      <w:r>
        <w:rPr>
          <w:rFonts w:ascii="Arial" w:hAnsi="Arial" w:hint="cs"/>
          <w:b/>
          <w:bCs/>
          <w:noProof w:val="0"/>
          <w:sz w:val="26"/>
          <w:szCs w:val="26"/>
          <w:rtl/>
        </w:rPr>
        <w:t xml:space="preserve">(28 בפברואר 1963) ובידו אחת מאלה: </w:t>
      </w:r>
    </w:p>
    <w:p w:rsidR="00D65DCE" w:rsidRDefault="00D65DCE" w:rsidP="00D65DCE">
      <w:pPr>
        <w:pStyle w:val="ad"/>
        <w:numPr>
          <w:ilvl w:val="0"/>
          <w:numId w:val="9"/>
        </w:numPr>
        <w:spacing w:line="360" w:lineRule="auto"/>
        <w:ind w:right="567"/>
        <w:jc w:val="both"/>
        <w:rPr>
          <w:rFonts w:ascii="Arial" w:hAnsi="Arial"/>
          <w:b/>
          <w:bCs/>
          <w:noProof w:val="0"/>
          <w:sz w:val="26"/>
          <w:szCs w:val="26"/>
        </w:rPr>
      </w:pPr>
      <w:r>
        <w:rPr>
          <w:rFonts w:ascii="Arial" w:hAnsi="Arial" w:hint="cs"/>
          <w:b/>
          <w:bCs/>
          <w:noProof w:val="0"/>
          <w:sz w:val="26"/>
          <w:szCs w:val="26"/>
          <w:rtl/>
        </w:rPr>
        <w:t xml:space="preserve">אשרת עולה לפי סעיף 2 לחוק השבות, התש"י-1950 (להלן </w:t>
      </w:r>
      <w:r>
        <w:rPr>
          <w:rFonts w:ascii="Arial" w:hAnsi="Arial"/>
          <w:b/>
          <w:bCs/>
          <w:noProof w:val="0"/>
          <w:sz w:val="26"/>
          <w:szCs w:val="26"/>
          <w:rtl/>
        </w:rPr>
        <w:t>–</w:t>
      </w:r>
      <w:r>
        <w:rPr>
          <w:rFonts w:ascii="Arial" w:hAnsi="Arial" w:hint="cs"/>
          <w:b/>
          <w:bCs/>
          <w:noProof w:val="0"/>
          <w:sz w:val="26"/>
          <w:szCs w:val="26"/>
          <w:rtl/>
        </w:rPr>
        <w:t xml:space="preserve"> חוק השבות);</w:t>
      </w:r>
    </w:p>
    <w:p w:rsidR="00D65DCE" w:rsidRDefault="00D65DCE" w:rsidP="00D65DCE">
      <w:pPr>
        <w:pStyle w:val="ad"/>
        <w:numPr>
          <w:ilvl w:val="0"/>
          <w:numId w:val="9"/>
        </w:numPr>
        <w:spacing w:line="360" w:lineRule="auto"/>
        <w:ind w:right="567"/>
        <w:jc w:val="both"/>
        <w:rPr>
          <w:rFonts w:ascii="Arial" w:hAnsi="Arial"/>
          <w:b/>
          <w:bCs/>
          <w:noProof w:val="0"/>
          <w:sz w:val="26"/>
          <w:szCs w:val="26"/>
        </w:rPr>
      </w:pPr>
      <w:r>
        <w:rPr>
          <w:rFonts w:ascii="Arial" w:hAnsi="Arial" w:hint="cs"/>
          <w:b/>
          <w:bCs/>
          <w:noProof w:val="0"/>
          <w:sz w:val="26"/>
          <w:szCs w:val="26"/>
          <w:rtl/>
        </w:rPr>
        <w:t>תעודת עולה לפי סעיף 3 לחוק  השבות;</w:t>
      </w:r>
    </w:p>
    <w:p w:rsidR="00D65DCE" w:rsidRDefault="00D65DCE" w:rsidP="00D65DCE">
      <w:pPr>
        <w:pStyle w:val="ad"/>
        <w:numPr>
          <w:ilvl w:val="0"/>
          <w:numId w:val="9"/>
        </w:numPr>
        <w:spacing w:line="360" w:lineRule="auto"/>
        <w:ind w:right="567"/>
        <w:jc w:val="both"/>
        <w:rPr>
          <w:rFonts w:ascii="Arial" w:hAnsi="Arial"/>
          <w:b/>
          <w:bCs/>
          <w:noProof w:val="0"/>
          <w:sz w:val="26"/>
          <w:szCs w:val="26"/>
        </w:rPr>
      </w:pPr>
      <w:r>
        <w:rPr>
          <w:rFonts w:ascii="Arial" w:hAnsi="Arial" w:hint="cs"/>
          <w:b/>
          <w:bCs/>
          <w:noProof w:val="0"/>
          <w:sz w:val="26"/>
          <w:szCs w:val="26"/>
          <w:rtl/>
        </w:rPr>
        <w:t>אשרה או רשיון לישיבת ארעי מסוג א1 (עולה בכח) לפי תקנה 6(א) לתקנות הכניסה לישראל, התשל"ד-1974;</w:t>
      </w:r>
    </w:p>
    <w:p w:rsidR="005A2FF1" w:rsidRPr="005A2FF1" w:rsidRDefault="005A2FF1" w:rsidP="005A2FF1">
      <w:pPr>
        <w:pStyle w:val="ad"/>
        <w:numPr>
          <w:ilvl w:val="0"/>
          <w:numId w:val="8"/>
        </w:numPr>
        <w:spacing w:line="360" w:lineRule="auto"/>
        <w:ind w:right="567"/>
        <w:jc w:val="both"/>
        <w:rPr>
          <w:rFonts w:ascii="Arial" w:hAnsi="Arial"/>
          <w:b/>
          <w:bCs/>
          <w:noProof w:val="0"/>
          <w:sz w:val="26"/>
          <w:szCs w:val="26"/>
          <w:rtl/>
        </w:rPr>
      </w:pPr>
      <w:r>
        <w:rPr>
          <w:rFonts w:ascii="Arial" w:hAnsi="Arial" w:hint="cs"/>
          <w:b/>
          <w:bCs/>
          <w:noProof w:val="0"/>
          <w:sz w:val="26"/>
          <w:szCs w:val="26"/>
          <w:rtl/>
        </w:rPr>
        <w:t>שר האוצר רשאי לקבוע סוגי בני-אדם שדינם כדין עולה</w:t>
      </w:r>
      <w:r w:rsidR="004740D9">
        <w:rPr>
          <w:rFonts w:ascii="Arial" w:hAnsi="Arial" w:hint="cs"/>
          <w:b/>
          <w:bCs/>
          <w:noProof w:val="0"/>
          <w:sz w:val="26"/>
          <w:szCs w:val="26"/>
          <w:rtl/>
        </w:rPr>
        <w:t>.</w:t>
      </w:r>
      <w:r w:rsidR="00C55848">
        <w:rPr>
          <w:rFonts w:ascii="Arial" w:hAnsi="Arial" w:hint="cs"/>
          <w:b/>
          <w:bCs/>
          <w:noProof w:val="0"/>
          <w:sz w:val="26"/>
          <w:szCs w:val="26"/>
          <w:rtl/>
        </w:rPr>
        <w:t xml:space="preserve">" </w:t>
      </w:r>
      <w:r w:rsidR="004C2BD2">
        <w:rPr>
          <w:rStyle w:val="af0"/>
          <w:rFonts w:ascii="Arial" w:hAnsi="Arial"/>
          <w:b/>
          <w:bCs/>
          <w:noProof w:val="0"/>
          <w:sz w:val="26"/>
          <w:szCs w:val="26"/>
          <w:rtl/>
        </w:rPr>
        <w:footnoteReference w:id="2"/>
      </w:r>
    </w:p>
    <w:p w:rsidR="00E24FE2" w:rsidRDefault="00E24FE2" w:rsidP="00E24FE2">
      <w:pPr>
        <w:pStyle w:val="ad"/>
        <w:spacing w:line="360" w:lineRule="auto"/>
        <w:jc w:val="both"/>
        <w:rPr>
          <w:rFonts w:ascii="Arial" w:hAnsi="Arial"/>
          <w:noProof w:val="0"/>
          <w:sz w:val="26"/>
          <w:szCs w:val="26"/>
          <w:rtl/>
        </w:rPr>
      </w:pPr>
    </w:p>
    <w:p w:rsidR="00E24FE2" w:rsidRDefault="00E24FE2" w:rsidP="00E24FE2">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אשר לתוכן פסקה (א)(1) </w:t>
      </w:r>
      <w:r w:rsidR="005A2FF1">
        <w:rPr>
          <w:rFonts w:ascii="Arial" w:hAnsi="Arial" w:hint="cs"/>
          <w:noProof w:val="0"/>
          <w:sz w:val="26"/>
          <w:szCs w:val="26"/>
          <w:rtl/>
        </w:rPr>
        <w:t xml:space="preserve">הנ"ל </w:t>
      </w:r>
      <w:r w:rsidR="007A39C3">
        <w:rPr>
          <w:rFonts w:ascii="Arial" w:hAnsi="Arial" w:hint="cs"/>
          <w:noProof w:val="0"/>
          <w:sz w:val="26"/>
          <w:szCs w:val="26"/>
          <w:rtl/>
        </w:rPr>
        <w:t>יוסבר כי סעיף 2 לחוק השבות קובע</w:t>
      </w:r>
      <w:r w:rsidR="005A2FF1">
        <w:rPr>
          <w:rFonts w:ascii="Arial" w:hAnsi="Arial" w:hint="cs"/>
          <w:noProof w:val="0"/>
          <w:sz w:val="26"/>
          <w:szCs w:val="26"/>
          <w:rtl/>
        </w:rPr>
        <w:t xml:space="preserve"> כי: </w:t>
      </w:r>
    </w:p>
    <w:p w:rsidR="005A2FF1" w:rsidRPr="007A39C3" w:rsidRDefault="005A2FF1" w:rsidP="005A2FF1">
      <w:pPr>
        <w:spacing w:line="360" w:lineRule="auto"/>
        <w:ind w:left="1134" w:right="567"/>
        <w:rPr>
          <w:rFonts w:ascii="David" w:hAnsi="David"/>
          <w:b/>
          <w:bCs/>
          <w:noProof w:val="0"/>
          <w:sz w:val="26"/>
          <w:szCs w:val="26"/>
          <w:rtl/>
        </w:rPr>
      </w:pPr>
    </w:p>
    <w:p w:rsidR="005A2FF1" w:rsidRPr="005A2FF1" w:rsidRDefault="005A2FF1" w:rsidP="005A2FF1">
      <w:pPr>
        <w:spacing w:line="360" w:lineRule="auto"/>
        <w:ind w:left="1134" w:right="567"/>
        <w:rPr>
          <w:rFonts w:ascii="David" w:hAnsi="David"/>
          <w:b/>
          <w:bCs/>
          <w:noProof w:val="0"/>
          <w:sz w:val="26"/>
          <w:szCs w:val="26"/>
        </w:rPr>
      </w:pPr>
      <w:r w:rsidRPr="005A2FF1">
        <w:rPr>
          <w:rFonts w:ascii="David" w:hAnsi="David"/>
          <w:b/>
          <w:bCs/>
          <w:noProof w:val="0"/>
          <w:sz w:val="26"/>
          <w:szCs w:val="26"/>
          <w:rtl/>
        </w:rPr>
        <w:t>"</w:t>
      </w:r>
      <w:r w:rsidRPr="005A2FF1">
        <w:rPr>
          <w:rFonts w:ascii="David" w:hAnsi="David"/>
          <w:b/>
          <w:bCs/>
          <w:sz w:val="26"/>
          <w:szCs w:val="26"/>
          <w:rtl/>
        </w:rPr>
        <w:t>(א) העליה תהיה על פי אשרת עולה.</w:t>
      </w:r>
    </w:p>
    <w:p w:rsidR="005A2FF1" w:rsidRPr="005A2FF1" w:rsidRDefault="005A2FF1" w:rsidP="005A2FF1">
      <w:pPr>
        <w:spacing w:line="360" w:lineRule="auto"/>
        <w:ind w:left="1134" w:right="567"/>
        <w:rPr>
          <w:rFonts w:ascii="David" w:hAnsi="David"/>
          <w:b/>
          <w:bCs/>
          <w:sz w:val="26"/>
          <w:szCs w:val="26"/>
          <w:rtl/>
        </w:rPr>
      </w:pPr>
      <w:r w:rsidRPr="005A2FF1">
        <w:rPr>
          <w:rFonts w:ascii="David" w:hAnsi="David"/>
          <w:b/>
          <w:bCs/>
          <w:sz w:val="26"/>
          <w:szCs w:val="26"/>
          <w:rtl/>
        </w:rPr>
        <w:t>(ב) אשרת עולה תינתן לכל יהודי שהביע את רצונו להשתקע בישראל...</w:t>
      </w:r>
      <w:r>
        <w:rPr>
          <w:rFonts w:ascii="David" w:hAnsi="David" w:hint="cs"/>
          <w:b/>
          <w:bCs/>
          <w:sz w:val="26"/>
          <w:szCs w:val="26"/>
          <w:rtl/>
        </w:rPr>
        <w:t>"</w:t>
      </w:r>
    </w:p>
    <w:p w:rsidR="005A2FF1" w:rsidRDefault="005A2FF1" w:rsidP="005A2FF1">
      <w:pPr>
        <w:pStyle w:val="ad"/>
        <w:spacing w:line="360" w:lineRule="auto"/>
        <w:ind w:left="587"/>
        <w:jc w:val="both"/>
        <w:rPr>
          <w:rFonts w:ascii="Arial" w:hAnsi="Arial"/>
          <w:noProof w:val="0"/>
          <w:sz w:val="26"/>
          <w:szCs w:val="26"/>
          <w:rtl/>
        </w:rPr>
      </w:pPr>
    </w:p>
    <w:p w:rsidR="00C137DB" w:rsidRPr="00C137DB" w:rsidRDefault="005A2FF1" w:rsidP="00304F99">
      <w:pPr>
        <w:pStyle w:val="ad"/>
        <w:spacing w:line="360" w:lineRule="auto"/>
        <w:ind w:left="587"/>
        <w:jc w:val="both"/>
        <w:rPr>
          <w:rFonts w:ascii="David" w:hAnsi="David"/>
          <w:b/>
          <w:bCs/>
          <w:noProof w:val="0"/>
          <w:sz w:val="26"/>
          <w:szCs w:val="26"/>
        </w:rPr>
      </w:pPr>
      <w:r w:rsidRPr="005A2FF1">
        <w:rPr>
          <w:rFonts w:ascii="David" w:hAnsi="David"/>
          <w:noProof w:val="0"/>
          <w:sz w:val="26"/>
          <w:szCs w:val="26"/>
          <w:rtl/>
        </w:rPr>
        <w:t xml:space="preserve">בהמשך, סעיף 3(א) לחוק השבות מורה כי </w:t>
      </w:r>
      <w:r w:rsidRPr="005A2FF1">
        <w:rPr>
          <w:rFonts w:ascii="David" w:hAnsi="David"/>
          <w:b/>
          <w:bCs/>
          <w:noProof w:val="0"/>
          <w:sz w:val="26"/>
          <w:szCs w:val="26"/>
          <w:rtl/>
        </w:rPr>
        <w:t>"</w:t>
      </w:r>
      <w:r w:rsidRPr="005A2FF1">
        <w:rPr>
          <w:rFonts w:ascii="David" w:hAnsi="David"/>
          <w:b/>
          <w:bCs/>
          <w:sz w:val="26"/>
          <w:szCs w:val="26"/>
          <w:rtl/>
        </w:rPr>
        <w:t>יהודי שבא לישראל ולאחר בואו הביע את רצונו להשתקע בה, רשאי</w:t>
      </w:r>
      <w:r w:rsidR="00C55848">
        <w:rPr>
          <w:rFonts w:ascii="David" w:hAnsi="David"/>
          <w:b/>
          <w:bCs/>
          <w:sz w:val="26"/>
          <w:szCs w:val="26"/>
          <w:rtl/>
        </w:rPr>
        <w:t>, בעודו בישראל, לקבל תעודת עולה</w:t>
      </w:r>
      <w:r>
        <w:rPr>
          <w:rFonts w:ascii="David" w:hAnsi="David" w:hint="cs"/>
          <w:b/>
          <w:bCs/>
          <w:sz w:val="26"/>
          <w:szCs w:val="26"/>
          <w:rtl/>
        </w:rPr>
        <w:t>"</w:t>
      </w:r>
      <w:r w:rsidR="00C55848" w:rsidRPr="00C55848">
        <w:rPr>
          <w:rFonts w:ascii="David" w:hAnsi="David" w:hint="cs"/>
          <w:sz w:val="26"/>
          <w:szCs w:val="26"/>
          <w:rtl/>
        </w:rPr>
        <w:t>.</w:t>
      </w:r>
      <w:r>
        <w:rPr>
          <w:rFonts w:ascii="David" w:hAnsi="David" w:hint="cs"/>
          <w:b/>
          <w:bCs/>
          <w:sz w:val="26"/>
          <w:szCs w:val="26"/>
          <w:rtl/>
        </w:rPr>
        <w:t xml:space="preserve"> </w:t>
      </w:r>
      <w:r w:rsidR="007A39C3">
        <w:rPr>
          <w:rFonts w:ascii="David" w:hAnsi="David" w:hint="cs"/>
          <w:sz w:val="26"/>
          <w:szCs w:val="26"/>
          <w:rtl/>
        </w:rPr>
        <w:t xml:space="preserve">עוד יצויין כי </w:t>
      </w:r>
      <w:r>
        <w:rPr>
          <w:rFonts w:ascii="David" w:hAnsi="David" w:hint="cs"/>
          <w:sz w:val="26"/>
          <w:szCs w:val="26"/>
          <w:rtl/>
        </w:rPr>
        <w:t xml:space="preserve"> תקנה 6(א)</w:t>
      </w:r>
      <w:r w:rsidR="007A39C3">
        <w:rPr>
          <w:rFonts w:ascii="David" w:hAnsi="David" w:hint="cs"/>
          <w:sz w:val="26"/>
          <w:szCs w:val="26"/>
          <w:rtl/>
        </w:rPr>
        <w:t xml:space="preserve"> הנ"ל לתקנות הכניסה לישראל קובע</w:t>
      </w:r>
      <w:r>
        <w:rPr>
          <w:rFonts w:ascii="David" w:hAnsi="David" w:hint="cs"/>
          <w:sz w:val="26"/>
          <w:szCs w:val="26"/>
          <w:rtl/>
        </w:rPr>
        <w:t xml:space="preserve"> כי: "</w:t>
      </w:r>
      <w:r w:rsidR="00C137DB" w:rsidRPr="00C137DB">
        <w:rPr>
          <w:rFonts w:ascii="David" w:hAnsi="David"/>
          <w:b/>
          <w:bCs/>
          <w:sz w:val="26"/>
          <w:szCs w:val="26"/>
          <w:rtl/>
        </w:rPr>
        <w:t>מי שזכאי לאשרת עולה או לתעודת עולה לפי חוק השבות ורוצה לשהות בישראל כדי לבדוק את האפשרות והתנאים להשתקעות בישראל כעולה, רשאי להגיש בקשה לאשרה ורישיון לישיבת ארעי מסוג א/1 (עולה בכוח)...</w:t>
      </w:r>
      <w:r w:rsidR="00C137DB">
        <w:rPr>
          <w:rFonts w:ascii="David" w:hAnsi="David" w:hint="cs"/>
          <w:b/>
          <w:bCs/>
          <w:sz w:val="26"/>
          <w:szCs w:val="26"/>
          <w:rtl/>
        </w:rPr>
        <w:t>"</w:t>
      </w:r>
      <w:r w:rsidR="00304F99" w:rsidRPr="007A39C3">
        <w:rPr>
          <w:rFonts w:ascii="David" w:hAnsi="David" w:hint="cs"/>
          <w:sz w:val="26"/>
          <w:szCs w:val="26"/>
          <w:rtl/>
        </w:rPr>
        <w:t>.</w:t>
      </w:r>
      <w:r w:rsidR="00304F99">
        <w:rPr>
          <w:rFonts w:ascii="David" w:hAnsi="David" w:hint="cs"/>
          <w:b/>
          <w:bCs/>
          <w:sz w:val="26"/>
          <w:szCs w:val="26"/>
          <w:rtl/>
        </w:rPr>
        <w:t xml:space="preserve"> </w:t>
      </w:r>
    </w:p>
    <w:p w:rsidR="00E24FE2" w:rsidRPr="00BB1563" w:rsidRDefault="00E24FE2" w:rsidP="00BB1563">
      <w:pPr>
        <w:spacing w:line="360" w:lineRule="auto"/>
        <w:ind w:left="587"/>
        <w:jc w:val="both"/>
        <w:rPr>
          <w:rFonts w:ascii="Arial" w:hAnsi="Arial"/>
          <w:noProof w:val="0"/>
          <w:sz w:val="26"/>
          <w:szCs w:val="26"/>
        </w:rPr>
      </w:pPr>
    </w:p>
    <w:p w:rsidR="00E24FE2" w:rsidRDefault="00BB1563" w:rsidP="007A39C3">
      <w:pPr>
        <w:pStyle w:val="ad"/>
        <w:numPr>
          <w:ilvl w:val="0"/>
          <w:numId w:val="2"/>
        </w:numPr>
        <w:spacing w:line="360" w:lineRule="auto"/>
        <w:ind w:left="587"/>
        <w:jc w:val="both"/>
        <w:rPr>
          <w:rFonts w:ascii="Arial" w:hAnsi="Arial"/>
          <w:noProof w:val="0"/>
          <w:sz w:val="26"/>
          <w:szCs w:val="26"/>
        </w:rPr>
      </w:pPr>
      <w:r w:rsidRPr="00BB1563">
        <w:rPr>
          <w:rFonts w:ascii="Arial" w:hAnsi="Arial" w:hint="cs"/>
          <w:noProof w:val="0"/>
          <w:sz w:val="26"/>
          <w:szCs w:val="26"/>
          <w:rtl/>
        </w:rPr>
        <w:t xml:space="preserve">במקרה הנדון </w:t>
      </w:r>
      <w:r w:rsidRPr="00BB1563">
        <w:rPr>
          <w:rFonts w:ascii="Arial" w:hAnsi="Arial" w:hint="cs"/>
          <w:b/>
          <w:bCs/>
          <w:noProof w:val="0"/>
          <w:sz w:val="26"/>
          <w:szCs w:val="26"/>
          <w:rtl/>
        </w:rPr>
        <w:t xml:space="preserve">אין מחלוקת </w:t>
      </w:r>
      <w:r w:rsidRPr="00BB1563">
        <w:rPr>
          <w:rFonts w:ascii="Arial" w:hAnsi="Arial" w:hint="cs"/>
          <w:noProof w:val="0"/>
          <w:sz w:val="26"/>
          <w:szCs w:val="26"/>
          <w:rtl/>
        </w:rPr>
        <w:t xml:space="preserve">כי </w:t>
      </w:r>
      <w:r w:rsidRPr="00BB1563">
        <w:rPr>
          <w:rFonts w:ascii="Arial" w:hAnsi="Arial" w:hint="cs"/>
          <w:b/>
          <w:bCs/>
          <w:noProof w:val="0"/>
          <w:sz w:val="26"/>
          <w:szCs w:val="26"/>
          <w:rtl/>
        </w:rPr>
        <w:t>לא</w:t>
      </w:r>
      <w:r w:rsidRPr="00BB1563">
        <w:rPr>
          <w:rFonts w:ascii="Arial" w:hAnsi="Arial" w:hint="cs"/>
          <w:noProof w:val="0"/>
          <w:sz w:val="26"/>
          <w:szCs w:val="26"/>
          <w:rtl/>
        </w:rPr>
        <w:t xml:space="preserve"> הייתה בידי העוררת אף לא אחת מן האשרות המנויות בתקנה 12(א)(1) (וראו סעיף </w:t>
      </w:r>
      <w:r w:rsidR="007A39C3">
        <w:rPr>
          <w:rFonts w:ascii="Arial" w:hAnsi="Arial" w:hint="cs"/>
          <w:noProof w:val="0"/>
          <w:sz w:val="26"/>
          <w:szCs w:val="26"/>
          <w:rtl/>
        </w:rPr>
        <w:t>9</w:t>
      </w:r>
      <w:r w:rsidRPr="00BB1563">
        <w:rPr>
          <w:rFonts w:ascii="Arial" w:hAnsi="Arial" w:hint="cs"/>
          <w:noProof w:val="0"/>
          <w:sz w:val="26"/>
          <w:szCs w:val="26"/>
          <w:rtl/>
        </w:rPr>
        <w:t xml:space="preserve"> </w:t>
      </w:r>
      <w:r w:rsidR="00AC0270">
        <w:rPr>
          <w:rFonts w:ascii="Arial" w:hAnsi="Arial" w:hint="cs"/>
          <w:noProof w:val="0"/>
          <w:sz w:val="26"/>
          <w:szCs w:val="26"/>
          <w:rtl/>
        </w:rPr>
        <w:t>לסיכומי העוררים</w:t>
      </w:r>
      <w:r w:rsidR="007A39C3">
        <w:rPr>
          <w:rFonts w:ascii="Arial" w:hAnsi="Arial" w:hint="cs"/>
          <w:noProof w:val="0"/>
          <w:sz w:val="26"/>
          <w:szCs w:val="26"/>
          <w:rtl/>
        </w:rPr>
        <w:t>)</w:t>
      </w:r>
      <w:r>
        <w:rPr>
          <w:rFonts w:ascii="Arial" w:hAnsi="Arial" w:hint="cs"/>
          <w:noProof w:val="0"/>
          <w:sz w:val="26"/>
          <w:szCs w:val="26"/>
          <w:rtl/>
        </w:rPr>
        <w:t>.</w:t>
      </w:r>
      <w:r w:rsidR="009E22CF">
        <w:rPr>
          <w:rStyle w:val="af0"/>
          <w:rFonts w:ascii="Arial" w:hAnsi="Arial"/>
          <w:noProof w:val="0"/>
          <w:sz w:val="26"/>
          <w:szCs w:val="26"/>
          <w:rtl/>
        </w:rPr>
        <w:footnoteReference w:id="3"/>
      </w:r>
      <w:r>
        <w:rPr>
          <w:rFonts w:ascii="Arial" w:hAnsi="Arial" w:hint="cs"/>
          <w:noProof w:val="0"/>
          <w:sz w:val="26"/>
          <w:szCs w:val="26"/>
          <w:rtl/>
        </w:rPr>
        <w:t xml:space="preserve"> </w:t>
      </w:r>
    </w:p>
    <w:p w:rsidR="003F1F93" w:rsidRPr="00BB1563" w:rsidRDefault="003F1F93" w:rsidP="003F1F93">
      <w:pPr>
        <w:pStyle w:val="ad"/>
        <w:spacing w:line="360" w:lineRule="auto"/>
        <w:ind w:left="587"/>
        <w:jc w:val="both"/>
        <w:rPr>
          <w:rFonts w:ascii="Arial" w:hAnsi="Arial"/>
          <w:noProof w:val="0"/>
          <w:sz w:val="26"/>
          <w:szCs w:val="26"/>
          <w:rtl/>
        </w:rPr>
      </w:pPr>
    </w:p>
    <w:p w:rsidR="00E24FE2" w:rsidRDefault="003F1F93" w:rsidP="008863DC">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ואשר לפסקה (א)(2) </w:t>
      </w:r>
      <w:r w:rsidR="007A39C3">
        <w:rPr>
          <w:rFonts w:ascii="Arial" w:hAnsi="Arial" w:hint="cs"/>
          <w:noProof w:val="0"/>
          <w:sz w:val="26"/>
          <w:szCs w:val="26"/>
          <w:rtl/>
        </w:rPr>
        <w:t>לתקנה 12</w:t>
      </w:r>
      <w:r>
        <w:rPr>
          <w:rFonts w:ascii="Arial" w:hAnsi="Arial" w:hint="cs"/>
          <w:noProof w:val="0"/>
          <w:sz w:val="26"/>
          <w:szCs w:val="26"/>
          <w:rtl/>
        </w:rPr>
        <w:t>, לפיה ניתן לקבוע סוגי בני אדם "שדינם כדין עו</w:t>
      </w:r>
      <w:r w:rsidR="00D42F5D">
        <w:rPr>
          <w:rFonts w:ascii="Arial" w:hAnsi="Arial" w:hint="cs"/>
          <w:noProof w:val="0"/>
          <w:sz w:val="26"/>
          <w:szCs w:val="26"/>
          <w:rtl/>
        </w:rPr>
        <w:t>לה</w:t>
      </w:r>
      <w:r>
        <w:rPr>
          <w:rFonts w:ascii="Arial" w:hAnsi="Arial" w:hint="cs"/>
          <w:noProof w:val="0"/>
          <w:sz w:val="26"/>
          <w:szCs w:val="26"/>
          <w:rtl/>
        </w:rPr>
        <w:t xml:space="preserve">", יוסבר כי שר האוצר אכן הפעיל סמכות זו פעם אחת, בחודש מאי 1992. </w:t>
      </w:r>
    </w:p>
    <w:p w:rsidR="003F1F93" w:rsidRPr="008863DC" w:rsidRDefault="003F1F93" w:rsidP="003F1F93">
      <w:pPr>
        <w:pStyle w:val="ad"/>
        <w:rPr>
          <w:rFonts w:ascii="Arial" w:hAnsi="Arial"/>
          <w:noProof w:val="0"/>
          <w:sz w:val="26"/>
          <w:szCs w:val="26"/>
          <w:rtl/>
        </w:rPr>
      </w:pPr>
    </w:p>
    <w:p w:rsidR="003F1F93" w:rsidRDefault="008863DC" w:rsidP="003F1F93">
      <w:pPr>
        <w:pStyle w:val="ad"/>
        <w:spacing w:line="360" w:lineRule="auto"/>
        <w:ind w:left="587"/>
        <w:jc w:val="both"/>
        <w:rPr>
          <w:rFonts w:ascii="Arial" w:hAnsi="Arial"/>
          <w:noProof w:val="0"/>
          <w:sz w:val="26"/>
          <w:szCs w:val="26"/>
          <w:rtl/>
        </w:rPr>
      </w:pPr>
      <w:r>
        <w:rPr>
          <w:rFonts w:ascii="Arial" w:hAnsi="Arial" w:hint="cs"/>
          <w:noProof w:val="0"/>
          <w:sz w:val="26"/>
          <w:szCs w:val="26"/>
          <w:rtl/>
        </w:rPr>
        <w:t>ב</w:t>
      </w:r>
      <w:r w:rsidR="003F1F93">
        <w:rPr>
          <w:rFonts w:ascii="Arial" w:hAnsi="Arial" w:hint="cs"/>
          <w:noProof w:val="0"/>
          <w:sz w:val="26"/>
          <w:szCs w:val="26"/>
          <w:rtl/>
        </w:rPr>
        <w:t>"הודע</w:t>
      </w:r>
      <w:r>
        <w:rPr>
          <w:rFonts w:ascii="Arial" w:hAnsi="Arial" w:hint="cs"/>
          <w:noProof w:val="0"/>
          <w:sz w:val="26"/>
          <w:szCs w:val="26"/>
          <w:rtl/>
        </w:rPr>
        <w:t>ה על קביעת עולה" מיום 17.5.1992 נאמר:</w:t>
      </w:r>
    </w:p>
    <w:p w:rsidR="00EA0BE8" w:rsidRDefault="00EA0BE8" w:rsidP="00304F99">
      <w:pPr>
        <w:pStyle w:val="p00"/>
        <w:bidi/>
        <w:spacing w:before="72" w:beforeAutospacing="0" w:after="0" w:afterAutospacing="0" w:line="360" w:lineRule="auto"/>
        <w:ind w:left="1134" w:right="567"/>
        <w:jc w:val="both"/>
        <w:rPr>
          <w:rStyle w:val="default"/>
          <w:rFonts w:ascii="David" w:hAnsi="David" w:cs="David"/>
          <w:b/>
          <w:bCs/>
          <w:color w:val="000000"/>
          <w:sz w:val="26"/>
          <w:szCs w:val="26"/>
          <w:rtl/>
        </w:rPr>
      </w:pPr>
    </w:p>
    <w:p w:rsidR="00304F99" w:rsidRPr="00304F99" w:rsidRDefault="00EA0BE8" w:rsidP="008863DC">
      <w:pPr>
        <w:pStyle w:val="p00"/>
        <w:bidi/>
        <w:spacing w:before="72" w:beforeAutospacing="0" w:after="0" w:afterAutospacing="0" w:line="360" w:lineRule="auto"/>
        <w:ind w:left="1134" w:right="567"/>
        <w:jc w:val="both"/>
        <w:rPr>
          <w:rFonts w:ascii="David" w:hAnsi="David" w:cs="David"/>
          <w:b/>
          <w:bCs/>
          <w:color w:val="000000"/>
          <w:sz w:val="20"/>
          <w:szCs w:val="20"/>
        </w:rPr>
      </w:pPr>
      <w:r>
        <w:rPr>
          <w:rStyle w:val="default"/>
          <w:rFonts w:ascii="David" w:hAnsi="David" w:cs="David" w:hint="cs"/>
          <w:b/>
          <w:bCs/>
          <w:color w:val="000000"/>
          <w:sz w:val="26"/>
          <w:szCs w:val="26"/>
          <w:rtl/>
        </w:rPr>
        <w:t>"</w:t>
      </w:r>
      <w:r w:rsidR="00304F99" w:rsidRPr="00304F99">
        <w:rPr>
          <w:rStyle w:val="default"/>
          <w:rFonts w:ascii="David" w:hAnsi="David" w:cs="David"/>
          <w:b/>
          <w:bCs/>
          <w:color w:val="000000"/>
          <w:sz w:val="26"/>
          <w:szCs w:val="26"/>
          <w:rtl/>
        </w:rPr>
        <w:t>בתוקף סמכותי לפי תקנה 12(א)(2) לתקנות מס שבח מקרקעין (מס רכישה), תשל"ה-</w:t>
      </w:r>
      <w:r w:rsidR="00776C70">
        <w:rPr>
          <w:rStyle w:val="default"/>
          <w:rFonts w:ascii="David" w:hAnsi="David" w:cs="David" w:hint="cs"/>
          <w:b/>
          <w:bCs/>
          <w:color w:val="000000"/>
          <w:sz w:val="26"/>
          <w:szCs w:val="26"/>
          <w:rtl/>
        </w:rPr>
        <w:t xml:space="preserve"> </w:t>
      </w:r>
      <w:r w:rsidR="00304F99" w:rsidRPr="00304F99">
        <w:rPr>
          <w:rStyle w:val="default"/>
          <w:rFonts w:ascii="David" w:hAnsi="David" w:cs="David"/>
          <w:b/>
          <w:bCs/>
          <w:color w:val="000000"/>
          <w:sz w:val="26"/>
          <w:szCs w:val="26"/>
          <w:rtl/>
        </w:rPr>
        <w:t>1975</w:t>
      </w:r>
      <w:r w:rsidR="008863DC">
        <w:rPr>
          <w:rStyle w:val="default"/>
          <w:rFonts w:ascii="David" w:hAnsi="David" w:cs="David" w:hint="cs"/>
          <w:b/>
          <w:bCs/>
          <w:color w:val="000000"/>
          <w:sz w:val="26"/>
          <w:szCs w:val="26"/>
          <w:rtl/>
        </w:rPr>
        <w:t>...</w:t>
      </w:r>
      <w:r w:rsidR="00304F99" w:rsidRPr="00304F99">
        <w:rPr>
          <w:rStyle w:val="default"/>
          <w:rFonts w:ascii="David" w:hAnsi="David" w:cs="David"/>
          <w:b/>
          <w:bCs/>
          <w:color w:val="000000"/>
          <w:sz w:val="26"/>
          <w:szCs w:val="26"/>
          <w:rtl/>
        </w:rPr>
        <w:t xml:space="preserve"> אני קובע כי יראו כעולה לענין תקנה 12 לתקנות מס רכישה, גם מי שנכנס בשנית לישראל, אם שוכנע המנהל כי בעת שהותו לראשונה בישראל נתקיימו כל אלה:</w:t>
      </w:r>
    </w:p>
    <w:p w:rsidR="00304F99" w:rsidRPr="00304F99" w:rsidRDefault="00304F99" w:rsidP="00EA0BE8">
      <w:pPr>
        <w:pStyle w:val="p01"/>
        <w:bidi/>
        <w:spacing w:before="72" w:beforeAutospacing="0" w:after="0" w:afterAutospacing="0" w:line="360" w:lineRule="auto"/>
        <w:ind w:left="1134" w:right="567" w:hanging="624"/>
        <w:jc w:val="both"/>
        <w:rPr>
          <w:rFonts w:ascii="David" w:hAnsi="David" w:cs="David"/>
          <w:b/>
          <w:bCs/>
          <w:color w:val="000000"/>
          <w:sz w:val="20"/>
          <w:szCs w:val="20"/>
          <w:rtl/>
        </w:rPr>
      </w:pPr>
      <w:r w:rsidRPr="00304F99">
        <w:rPr>
          <w:rStyle w:val="default"/>
          <w:rFonts w:ascii="David" w:hAnsi="David" w:cs="David"/>
          <w:b/>
          <w:bCs/>
          <w:color w:val="000000"/>
          <w:sz w:val="26"/>
          <w:szCs w:val="26"/>
          <w:rtl/>
        </w:rPr>
        <w:t>     </w:t>
      </w:r>
      <w:r w:rsidR="00EA0BE8">
        <w:rPr>
          <w:rStyle w:val="default"/>
          <w:rFonts w:ascii="David" w:hAnsi="David" w:cs="David"/>
          <w:b/>
          <w:bCs/>
          <w:color w:val="000000"/>
          <w:sz w:val="26"/>
          <w:szCs w:val="26"/>
          <w:rtl/>
        </w:rPr>
        <w:tab/>
      </w:r>
      <w:r w:rsidR="00EA0BE8">
        <w:rPr>
          <w:rStyle w:val="default"/>
          <w:rFonts w:ascii="David" w:hAnsi="David" w:cs="David" w:hint="cs"/>
          <w:b/>
          <w:bCs/>
          <w:color w:val="000000"/>
          <w:sz w:val="26"/>
          <w:szCs w:val="26"/>
          <w:rtl/>
        </w:rPr>
        <w:t>(1)</w:t>
      </w:r>
      <w:r w:rsidR="00EA0BE8">
        <w:rPr>
          <w:rStyle w:val="default"/>
          <w:rFonts w:ascii="David" w:hAnsi="David" w:cs="David"/>
          <w:b/>
          <w:bCs/>
          <w:color w:val="000000"/>
          <w:sz w:val="26"/>
          <w:szCs w:val="26"/>
          <w:rtl/>
        </w:rPr>
        <w:tab/>
      </w:r>
      <w:r w:rsidRPr="00304F99">
        <w:rPr>
          <w:rStyle w:val="default"/>
          <w:rFonts w:ascii="David" w:hAnsi="David" w:cs="David"/>
          <w:b/>
          <w:bCs/>
          <w:color w:val="000000"/>
          <w:sz w:val="26"/>
          <w:szCs w:val="26"/>
          <w:rtl/>
        </w:rPr>
        <w:t>היתה בידו אשרה או רשיון לישיבת ארעי מסוג א1 (עולה בכח) לפי תקנה 6(א) לתקנות הכניסה לישראל, תשל"ד-1974;</w:t>
      </w:r>
    </w:p>
    <w:p w:rsidR="00304F99" w:rsidRPr="00304F99" w:rsidRDefault="00304F99" w:rsidP="00EA0BE8">
      <w:pPr>
        <w:pStyle w:val="p01"/>
        <w:bidi/>
        <w:spacing w:before="72" w:beforeAutospacing="0" w:after="0" w:afterAutospacing="0" w:line="360" w:lineRule="auto"/>
        <w:ind w:left="1134" w:right="567" w:hanging="414"/>
        <w:jc w:val="both"/>
        <w:rPr>
          <w:rFonts w:ascii="David" w:hAnsi="David" w:cs="David"/>
          <w:b/>
          <w:bCs/>
          <w:color w:val="000000"/>
          <w:sz w:val="20"/>
          <w:szCs w:val="20"/>
        </w:rPr>
      </w:pPr>
      <w:r w:rsidRPr="00304F99">
        <w:rPr>
          <w:rFonts w:ascii="David" w:hAnsi="David" w:cs="David"/>
          <w:b/>
          <w:bCs/>
          <w:color w:val="000000"/>
          <w:sz w:val="26"/>
          <w:szCs w:val="26"/>
          <w:rtl/>
        </w:rPr>
        <w:t>     </w:t>
      </w:r>
      <w:r w:rsidR="00EA0BE8">
        <w:rPr>
          <w:rFonts w:ascii="David" w:hAnsi="David" w:cs="David" w:hint="cs"/>
          <w:b/>
          <w:bCs/>
          <w:color w:val="000000"/>
          <w:sz w:val="26"/>
          <w:szCs w:val="26"/>
          <w:rtl/>
        </w:rPr>
        <w:t>(2)</w:t>
      </w:r>
      <w:r w:rsidRPr="00304F99">
        <w:rPr>
          <w:rFonts w:ascii="David" w:hAnsi="David" w:cs="David"/>
          <w:b/>
          <w:bCs/>
          <w:color w:val="000000"/>
          <w:sz w:val="26"/>
          <w:szCs w:val="26"/>
          <w:rtl/>
        </w:rPr>
        <w:t> </w:t>
      </w:r>
      <w:r w:rsidRPr="00304F99">
        <w:rPr>
          <w:rStyle w:val="default"/>
          <w:rFonts w:ascii="David" w:hAnsi="David" w:cs="David"/>
          <w:b/>
          <w:bCs/>
          <w:color w:val="000000"/>
          <w:sz w:val="26"/>
          <w:szCs w:val="26"/>
          <w:rtl/>
        </w:rPr>
        <w:t>הוא</w:t>
      </w:r>
      <w:r w:rsidR="008863DC">
        <w:rPr>
          <w:rStyle w:val="default"/>
          <w:rFonts w:ascii="David" w:hAnsi="David" w:cs="David"/>
          <w:b/>
          <w:bCs/>
          <w:color w:val="000000"/>
          <w:sz w:val="26"/>
          <w:szCs w:val="26"/>
          <w:rtl/>
        </w:rPr>
        <w:t xml:space="preserve"> שהה בישראל לצורך שירות סדיר...</w:t>
      </w:r>
      <w:r w:rsidRPr="00304F99">
        <w:rPr>
          <w:rStyle w:val="default"/>
          <w:rFonts w:ascii="David" w:hAnsi="David" w:cs="David"/>
          <w:b/>
          <w:bCs/>
          <w:color w:val="000000"/>
          <w:sz w:val="26"/>
          <w:szCs w:val="26"/>
          <w:rtl/>
        </w:rPr>
        <w:t xml:space="preserve"> או למטרת לימודים, או שהיה "מרצה אורח" או "מומחה חוץ"...;</w:t>
      </w:r>
    </w:p>
    <w:p w:rsidR="00304F99" w:rsidRPr="00304F99" w:rsidRDefault="00304F99" w:rsidP="00EA0BE8">
      <w:pPr>
        <w:pStyle w:val="p01"/>
        <w:bidi/>
        <w:spacing w:before="72" w:beforeAutospacing="0" w:after="0" w:afterAutospacing="0" w:line="360" w:lineRule="auto"/>
        <w:ind w:left="1134" w:right="567" w:hanging="547"/>
        <w:jc w:val="both"/>
        <w:rPr>
          <w:rFonts w:ascii="David" w:hAnsi="David" w:cs="David"/>
          <w:b/>
          <w:bCs/>
          <w:color w:val="000000"/>
          <w:sz w:val="20"/>
          <w:szCs w:val="20"/>
          <w:rtl/>
        </w:rPr>
      </w:pPr>
      <w:r w:rsidRPr="00304F99">
        <w:rPr>
          <w:rFonts w:ascii="David" w:hAnsi="David" w:cs="David"/>
          <w:b/>
          <w:bCs/>
          <w:color w:val="000000"/>
          <w:sz w:val="26"/>
          <w:szCs w:val="26"/>
          <w:rtl/>
        </w:rPr>
        <w:t>      </w:t>
      </w:r>
      <w:r w:rsidR="00EA0BE8">
        <w:rPr>
          <w:rFonts w:ascii="David" w:hAnsi="David" w:cs="David" w:hint="cs"/>
          <w:b/>
          <w:bCs/>
          <w:color w:val="000000"/>
          <w:sz w:val="26"/>
          <w:szCs w:val="26"/>
          <w:rtl/>
        </w:rPr>
        <w:t xml:space="preserve"> (3) </w:t>
      </w:r>
      <w:r w:rsidRPr="00304F99">
        <w:rPr>
          <w:rStyle w:val="default"/>
          <w:rFonts w:ascii="David" w:hAnsi="David" w:cs="David"/>
          <w:b/>
          <w:bCs/>
          <w:color w:val="000000"/>
          <w:sz w:val="26"/>
          <w:szCs w:val="26"/>
          <w:rtl/>
        </w:rPr>
        <w:t>בעת שהותו לראשונה בישראל לא רכש זכות במקרקעין בפטור ממס רכישה לפי תקנות 12 לתקנות מס רכישה.</w:t>
      </w:r>
      <w:r w:rsidR="00EA0BE8">
        <w:rPr>
          <w:rStyle w:val="default"/>
          <w:rFonts w:ascii="David" w:hAnsi="David" w:cs="David" w:hint="cs"/>
          <w:b/>
          <w:bCs/>
          <w:color w:val="000000"/>
          <w:sz w:val="26"/>
          <w:szCs w:val="26"/>
          <w:rtl/>
        </w:rPr>
        <w:t>"</w:t>
      </w:r>
    </w:p>
    <w:p w:rsidR="00304F99" w:rsidRDefault="00304F99" w:rsidP="00304F99">
      <w:pPr>
        <w:pStyle w:val="p01"/>
        <w:bidi/>
        <w:spacing w:before="72" w:beforeAutospacing="0" w:after="0" w:afterAutospacing="0"/>
        <w:ind w:left="624" w:right="1134" w:hanging="624"/>
        <w:jc w:val="both"/>
        <w:rPr>
          <w:color w:val="000000"/>
          <w:sz w:val="20"/>
          <w:szCs w:val="20"/>
          <w:rtl/>
        </w:rPr>
      </w:pPr>
    </w:p>
    <w:p w:rsidR="003F1F93" w:rsidRDefault="003F1F93" w:rsidP="008863DC">
      <w:pPr>
        <w:pStyle w:val="ad"/>
        <w:spacing w:line="360" w:lineRule="auto"/>
        <w:ind w:left="587"/>
        <w:jc w:val="both"/>
        <w:rPr>
          <w:rFonts w:ascii="Arial" w:hAnsi="Arial"/>
          <w:noProof w:val="0"/>
          <w:sz w:val="26"/>
          <w:szCs w:val="26"/>
          <w:rtl/>
        </w:rPr>
      </w:pPr>
      <w:r>
        <w:rPr>
          <w:rFonts w:ascii="Arial" w:hAnsi="Arial" w:hint="cs"/>
          <w:noProof w:val="0"/>
          <w:sz w:val="26"/>
          <w:szCs w:val="26"/>
          <w:rtl/>
        </w:rPr>
        <w:t>עולה בבירור מהודעה זו מאת שר האוצר כי היא חלה על מי שהיה זכאי מלכתחילה להקלה על פי תקנה 12 (כי כך נדרש על פי תנאי (1) להודעה, המקבילה לתקנה 12(א)(1)(ג))</w:t>
      </w:r>
      <w:r w:rsidR="008863DC">
        <w:rPr>
          <w:rFonts w:ascii="Arial" w:hAnsi="Arial" w:hint="cs"/>
          <w:noProof w:val="0"/>
          <w:sz w:val="26"/>
          <w:szCs w:val="26"/>
          <w:rtl/>
        </w:rPr>
        <w:t xml:space="preserve">, </w:t>
      </w:r>
      <w:r>
        <w:rPr>
          <w:rFonts w:ascii="Arial" w:hAnsi="Arial" w:hint="cs"/>
          <w:noProof w:val="0"/>
          <w:sz w:val="26"/>
          <w:szCs w:val="26"/>
          <w:rtl/>
        </w:rPr>
        <w:t>א</w:t>
      </w:r>
      <w:r w:rsidR="008863DC">
        <w:rPr>
          <w:rFonts w:ascii="Arial" w:hAnsi="Arial" w:hint="cs"/>
          <w:noProof w:val="0"/>
          <w:sz w:val="26"/>
          <w:szCs w:val="26"/>
          <w:rtl/>
        </w:rPr>
        <w:t>ך</w:t>
      </w:r>
      <w:r>
        <w:rPr>
          <w:rFonts w:ascii="Arial" w:hAnsi="Arial" w:hint="cs"/>
          <w:noProof w:val="0"/>
          <w:sz w:val="26"/>
          <w:szCs w:val="26"/>
          <w:rtl/>
        </w:rPr>
        <w:t xml:space="preserve"> </w:t>
      </w:r>
      <w:r w:rsidR="008863DC">
        <w:rPr>
          <w:rFonts w:ascii="Arial" w:hAnsi="Arial" w:hint="cs"/>
          <w:noProof w:val="0"/>
          <w:sz w:val="26"/>
          <w:szCs w:val="26"/>
          <w:rtl/>
        </w:rPr>
        <w:t>איננו יכול לקיי</w:t>
      </w:r>
      <w:r>
        <w:rPr>
          <w:rFonts w:ascii="Arial" w:hAnsi="Arial" w:hint="cs"/>
          <w:noProof w:val="0"/>
          <w:sz w:val="26"/>
          <w:szCs w:val="26"/>
          <w:rtl/>
        </w:rPr>
        <w:t>ם את דרישת תקנה 12(ב) רישא, לפיה הזכות ב</w:t>
      </w:r>
      <w:r w:rsidR="00A74286">
        <w:rPr>
          <w:rFonts w:ascii="Arial" w:hAnsi="Arial" w:hint="cs"/>
          <w:noProof w:val="0"/>
          <w:sz w:val="26"/>
          <w:szCs w:val="26"/>
          <w:rtl/>
        </w:rPr>
        <w:t xml:space="preserve">מקרקעין חייבת להירכש תוך תקופה </w:t>
      </w:r>
      <w:r>
        <w:rPr>
          <w:rFonts w:ascii="Arial" w:hAnsi="Arial" w:hint="cs"/>
          <w:noProof w:val="0"/>
          <w:sz w:val="26"/>
          <w:szCs w:val="26"/>
          <w:rtl/>
        </w:rPr>
        <w:t>של שבע</w:t>
      </w:r>
      <w:r w:rsidR="008863DC">
        <w:rPr>
          <w:rFonts w:ascii="Arial" w:hAnsi="Arial" w:hint="cs"/>
          <w:noProof w:val="0"/>
          <w:sz w:val="26"/>
          <w:szCs w:val="26"/>
          <w:rtl/>
        </w:rPr>
        <w:t xml:space="preserve"> שנים</w:t>
      </w:r>
      <w:r>
        <w:rPr>
          <w:rFonts w:ascii="Arial" w:hAnsi="Arial" w:hint="cs"/>
          <w:noProof w:val="0"/>
          <w:sz w:val="26"/>
          <w:szCs w:val="26"/>
          <w:rtl/>
        </w:rPr>
        <w:t xml:space="preserve"> מכניסתו לראשונה  לישראל</w:t>
      </w:r>
      <w:r w:rsidR="00A74286">
        <w:rPr>
          <w:rFonts w:ascii="Arial" w:hAnsi="Arial" w:hint="cs"/>
          <w:noProof w:val="0"/>
          <w:sz w:val="26"/>
          <w:szCs w:val="26"/>
          <w:rtl/>
        </w:rPr>
        <w:t>.</w:t>
      </w:r>
      <w:r>
        <w:rPr>
          <w:rStyle w:val="af0"/>
          <w:rFonts w:ascii="Arial" w:hAnsi="Arial"/>
          <w:noProof w:val="0"/>
          <w:sz w:val="26"/>
          <w:szCs w:val="26"/>
          <w:rtl/>
        </w:rPr>
        <w:footnoteReference w:id="4"/>
      </w:r>
      <w:r w:rsidR="001A73CC">
        <w:rPr>
          <w:rFonts w:ascii="Arial" w:hAnsi="Arial" w:hint="cs"/>
          <w:noProof w:val="0"/>
          <w:sz w:val="26"/>
          <w:szCs w:val="26"/>
          <w:rtl/>
        </w:rPr>
        <w:t xml:space="preserve"> בהתאם לקביעת השר, גם עולה שנכנס </w:t>
      </w:r>
      <w:r w:rsidR="001A73CC">
        <w:rPr>
          <w:rFonts w:ascii="Arial" w:hAnsi="Arial" w:hint="cs"/>
          <w:b/>
          <w:bCs/>
          <w:noProof w:val="0"/>
          <w:sz w:val="26"/>
          <w:szCs w:val="26"/>
          <w:rtl/>
        </w:rPr>
        <w:t>בשנית</w:t>
      </w:r>
      <w:r w:rsidR="001A73CC">
        <w:rPr>
          <w:rFonts w:ascii="Arial" w:hAnsi="Arial" w:hint="cs"/>
          <w:noProof w:val="0"/>
          <w:sz w:val="26"/>
          <w:szCs w:val="26"/>
          <w:rtl/>
        </w:rPr>
        <w:t xml:space="preserve"> לישראל עשוי להיות זכאי להקלה אם השהות הראשונה בישראל</w:t>
      </w:r>
      <w:r w:rsidR="008863DC">
        <w:rPr>
          <w:rFonts w:ascii="Arial" w:hAnsi="Arial" w:hint="cs"/>
          <w:noProof w:val="0"/>
          <w:sz w:val="26"/>
          <w:szCs w:val="26"/>
          <w:rtl/>
        </w:rPr>
        <w:t xml:space="preserve"> הייתה לאחת המטרות  המנויות (שיר</w:t>
      </w:r>
      <w:r w:rsidR="001A73CC">
        <w:rPr>
          <w:rFonts w:ascii="Arial" w:hAnsi="Arial" w:hint="cs"/>
          <w:noProof w:val="0"/>
          <w:sz w:val="26"/>
          <w:szCs w:val="26"/>
          <w:rtl/>
        </w:rPr>
        <w:t xml:space="preserve">ות סדיר בצבא; לימודים; עבודה כמרצה או מומחה). </w:t>
      </w:r>
    </w:p>
    <w:p w:rsidR="003F1F93" w:rsidRPr="003F1F93" w:rsidRDefault="003F1F93" w:rsidP="003F1F93">
      <w:pPr>
        <w:pStyle w:val="ad"/>
        <w:rPr>
          <w:rFonts w:ascii="Arial" w:hAnsi="Arial"/>
          <w:noProof w:val="0"/>
          <w:sz w:val="26"/>
          <w:szCs w:val="26"/>
          <w:rtl/>
        </w:rPr>
      </w:pPr>
    </w:p>
    <w:p w:rsidR="003F1F93" w:rsidRDefault="001A73CC" w:rsidP="008863DC">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אין חולק כי התנאים המפורטים בסעיפים (1), (2) ו- (3) ל</w:t>
      </w:r>
      <w:r w:rsidR="008863DC">
        <w:rPr>
          <w:rFonts w:ascii="Arial" w:hAnsi="Arial" w:hint="cs"/>
          <w:noProof w:val="0"/>
          <w:sz w:val="26"/>
          <w:szCs w:val="26"/>
          <w:rtl/>
        </w:rPr>
        <w:t>הודעת</w:t>
      </w:r>
      <w:r w:rsidR="00CA656A">
        <w:rPr>
          <w:rFonts w:ascii="Arial" w:hAnsi="Arial" w:hint="cs"/>
          <w:noProof w:val="0"/>
          <w:sz w:val="26"/>
          <w:szCs w:val="26"/>
          <w:rtl/>
        </w:rPr>
        <w:t xml:space="preserve"> </w:t>
      </w:r>
      <w:r>
        <w:rPr>
          <w:rFonts w:ascii="Arial" w:hAnsi="Arial" w:hint="cs"/>
          <w:noProof w:val="0"/>
          <w:sz w:val="26"/>
          <w:szCs w:val="26"/>
          <w:rtl/>
        </w:rPr>
        <w:t>שר האוצר משנת 1992 אינם מתקיימ</w:t>
      </w:r>
      <w:r w:rsidR="003C4440">
        <w:rPr>
          <w:rFonts w:ascii="Arial" w:hAnsi="Arial" w:hint="cs"/>
          <w:noProof w:val="0"/>
          <w:sz w:val="26"/>
          <w:szCs w:val="26"/>
          <w:rtl/>
        </w:rPr>
        <w:t>י</w:t>
      </w:r>
      <w:r>
        <w:rPr>
          <w:rFonts w:ascii="Arial" w:hAnsi="Arial" w:hint="cs"/>
          <w:noProof w:val="0"/>
          <w:sz w:val="26"/>
          <w:szCs w:val="26"/>
          <w:rtl/>
        </w:rPr>
        <w:t xml:space="preserve">ם במקרה של העוררת דנן. </w:t>
      </w:r>
    </w:p>
    <w:p w:rsidR="003C4440" w:rsidRDefault="003C4440" w:rsidP="003C4440">
      <w:pPr>
        <w:pStyle w:val="ad"/>
        <w:spacing w:line="360" w:lineRule="auto"/>
        <w:ind w:left="587"/>
        <w:jc w:val="both"/>
        <w:rPr>
          <w:rFonts w:ascii="Arial" w:hAnsi="Arial"/>
          <w:noProof w:val="0"/>
          <w:sz w:val="26"/>
          <w:szCs w:val="26"/>
        </w:rPr>
      </w:pPr>
    </w:p>
    <w:p w:rsidR="00D42F5D" w:rsidRDefault="00D42F5D" w:rsidP="008863DC">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ניתן אפוא ל</w:t>
      </w:r>
      <w:r w:rsidR="008863DC">
        <w:rPr>
          <w:rFonts w:ascii="Arial" w:hAnsi="Arial" w:hint="cs"/>
          <w:noProof w:val="0"/>
          <w:sz w:val="26"/>
          <w:szCs w:val="26"/>
          <w:rtl/>
        </w:rPr>
        <w:t>הקדים</w:t>
      </w:r>
      <w:r>
        <w:rPr>
          <w:rFonts w:ascii="Arial" w:hAnsi="Arial" w:hint="cs"/>
          <w:noProof w:val="0"/>
          <w:sz w:val="26"/>
          <w:szCs w:val="26"/>
          <w:rtl/>
        </w:rPr>
        <w:t xml:space="preserve"> ולומר כי </w:t>
      </w:r>
      <w:r>
        <w:rPr>
          <w:rFonts w:ascii="Arial" w:hAnsi="Arial" w:hint="cs"/>
          <w:b/>
          <w:bCs/>
          <w:noProof w:val="0"/>
          <w:sz w:val="26"/>
          <w:szCs w:val="26"/>
          <w:rtl/>
        </w:rPr>
        <w:t>על פי הפשט</w:t>
      </w:r>
      <w:r>
        <w:rPr>
          <w:rFonts w:ascii="Arial" w:hAnsi="Arial" w:hint="cs"/>
          <w:noProof w:val="0"/>
          <w:sz w:val="26"/>
          <w:szCs w:val="26"/>
          <w:rtl/>
        </w:rPr>
        <w:t xml:space="preserve"> של תקנה 12, המונח "עולה" המוגדר ב</w:t>
      </w:r>
      <w:r w:rsidR="003C4440">
        <w:rPr>
          <w:rFonts w:ascii="Arial" w:hAnsi="Arial" w:hint="cs"/>
          <w:noProof w:val="0"/>
          <w:sz w:val="26"/>
          <w:szCs w:val="26"/>
          <w:rtl/>
        </w:rPr>
        <w:t>ה איננו מקיף יליד ואזרח ישראל הש</w:t>
      </w:r>
      <w:r>
        <w:rPr>
          <w:rFonts w:ascii="Arial" w:hAnsi="Arial" w:hint="cs"/>
          <w:noProof w:val="0"/>
          <w:sz w:val="26"/>
          <w:szCs w:val="26"/>
          <w:rtl/>
        </w:rPr>
        <w:t xml:space="preserve">ב לישראל לאחר שהות ממושכת של שנים בחוץ לארץ. </w:t>
      </w:r>
    </w:p>
    <w:p w:rsidR="00D42F5D" w:rsidRDefault="00D42F5D" w:rsidP="00D42F5D">
      <w:pPr>
        <w:pStyle w:val="ad"/>
        <w:spacing w:line="360" w:lineRule="auto"/>
        <w:ind w:left="587"/>
        <w:jc w:val="both"/>
        <w:rPr>
          <w:rFonts w:ascii="Arial" w:hAnsi="Arial"/>
          <w:noProof w:val="0"/>
          <w:sz w:val="26"/>
          <w:szCs w:val="26"/>
          <w:rtl/>
        </w:rPr>
      </w:pPr>
    </w:p>
    <w:p w:rsidR="00694556" w:rsidRDefault="003C4440" w:rsidP="003C4440">
      <w:pPr>
        <w:pStyle w:val="ad"/>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תושב חוזר ותיק</w:t>
      </w:r>
    </w:p>
    <w:p w:rsidR="003C4440" w:rsidRDefault="00A479FD" w:rsidP="008863DC">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כאמור, לגישת </w:t>
      </w:r>
      <w:r w:rsidR="003C4440">
        <w:rPr>
          <w:rFonts w:ascii="Arial" w:hAnsi="Arial" w:hint="cs"/>
          <w:noProof w:val="0"/>
          <w:sz w:val="26"/>
          <w:szCs w:val="26"/>
          <w:rtl/>
        </w:rPr>
        <w:t>ה</w:t>
      </w:r>
      <w:r w:rsidR="007B6D61">
        <w:rPr>
          <w:rFonts w:ascii="Arial" w:hAnsi="Arial" w:hint="cs"/>
          <w:noProof w:val="0"/>
          <w:sz w:val="26"/>
          <w:szCs w:val="26"/>
          <w:rtl/>
        </w:rPr>
        <w:t>עוררים מגמות בחקיקה הפיסק</w:t>
      </w:r>
      <w:r>
        <w:rPr>
          <w:rFonts w:ascii="Arial" w:hAnsi="Arial" w:hint="cs"/>
          <w:noProof w:val="0"/>
          <w:sz w:val="26"/>
          <w:szCs w:val="26"/>
          <w:rtl/>
        </w:rPr>
        <w:t>לית מחייבות פרשנות לפיה כיום תקנה 12 חובקת גם תושב חוזר ותיק כהגדרתו בפקודה. ה</w:t>
      </w:r>
      <w:r w:rsidR="003C4440">
        <w:rPr>
          <w:rFonts w:ascii="Arial" w:hAnsi="Arial" w:hint="cs"/>
          <w:noProof w:val="0"/>
          <w:sz w:val="26"/>
          <w:szCs w:val="26"/>
          <w:rtl/>
        </w:rPr>
        <w:t>מונח תושב חוזר ותיק הוכנס לפקודת מס הכנסה בשנת 2008 במסגרת תיקון מס' 168 (</w:t>
      </w:r>
      <w:r w:rsidR="008863DC">
        <w:rPr>
          <w:rFonts w:ascii="Arial" w:hAnsi="Arial" w:hint="cs"/>
          <w:noProof w:val="0"/>
          <w:sz w:val="26"/>
          <w:szCs w:val="26"/>
          <w:rtl/>
        </w:rPr>
        <w:t>חוק לתיקון פקודת מס הכנסה (מס' 168 והוראת שעה), התשס"ח-2008).</w:t>
      </w:r>
      <w:r w:rsidR="003C4440">
        <w:rPr>
          <w:rFonts w:ascii="Arial" w:hAnsi="Arial" w:hint="cs"/>
          <w:noProof w:val="0"/>
          <w:sz w:val="26"/>
          <w:szCs w:val="26"/>
          <w:rtl/>
        </w:rPr>
        <w:t xml:space="preserve"> </w:t>
      </w:r>
    </w:p>
    <w:p w:rsidR="003C4440" w:rsidRDefault="003C4440" w:rsidP="003C4440">
      <w:pPr>
        <w:pStyle w:val="ad"/>
        <w:spacing w:line="360" w:lineRule="auto"/>
        <w:ind w:left="587"/>
        <w:jc w:val="both"/>
        <w:rPr>
          <w:rFonts w:ascii="Arial" w:hAnsi="Arial"/>
          <w:noProof w:val="0"/>
          <w:sz w:val="26"/>
          <w:szCs w:val="26"/>
          <w:rtl/>
        </w:rPr>
      </w:pPr>
    </w:p>
    <w:p w:rsidR="003C4440" w:rsidRDefault="003C4440" w:rsidP="00C50984">
      <w:pPr>
        <w:pStyle w:val="ad"/>
        <w:spacing w:line="360" w:lineRule="auto"/>
        <w:ind w:left="587"/>
        <w:jc w:val="both"/>
        <w:rPr>
          <w:rFonts w:ascii="Arial" w:hAnsi="Arial"/>
          <w:noProof w:val="0"/>
          <w:sz w:val="26"/>
          <w:szCs w:val="26"/>
          <w:rtl/>
        </w:rPr>
      </w:pPr>
      <w:r>
        <w:rPr>
          <w:rFonts w:ascii="Arial" w:hAnsi="Arial" w:hint="cs"/>
          <w:noProof w:val="0"/>
          <w:sz w:val="26"/>
          <w:szCs w:val="26"/>
          <w:rtl/>
        </w:rPr>
        <w:t>עד לתיקון מס' 168, סעיף 14 לפקודה (שכותרתו אז הייתה</w:t>
      </w:r>
      <w:r w:rsidR="001F07FA">
        <w:rPr>
          <w:rFonts w:ascii="Arial" w:hAnsi="Arial" w:hint="cs"/>
          <w:noProof w:val="0"/>
          <w:sz w:val="26"/>
          <w:szCs w:val="26"/>
          <w:rtl/>
        </w:rPr>
        <w:t xml:space="preserve"> </w:t>
      </w:r>
      <w:r w:rsidR="00C50984">
        <w:rPr>
          <w:rFonts w:ascii="Arial" w:hAnsi="Arial" w:hint="cs"/>
          <w:noProof w:val="0"/>
          <w:sz w:val="26"/>
          <w:szCs w:val="26"/>
          <w:rtl/>
        </w:rPr>
        <w:t>"הכנסה ממדינת חוץ של יחיד שהיה לתושב ישראל"</w:t>
      </w:r>
      <w:r>
        <w:rPr>
          <w:rFonts w:ascii="Arial" w:hAnsi="Arial" w:hint="cs"/>
          <w:noProof w:val="0"/>
          <w:sz w:val="26"/>
          <w:szCs w:val="26"/>
          <w:rtl/>
        </w:rPr>
        <w:t>) הסדי</w:t>
      </w:r>
      <w:r w:rsidR="00925117">
        <w:rPr>
          <w:rFonts w:ascii="Arial" w:hAnsi="Arial" w:hint="cs"/>
          <w:noProof w:val="0"/>
          <w:sz w:val="26"/>
          <w:szCs w:val="26"/>
          <w:rtl/>
        </w:rPr>
        <w:t xml:space="preserve">ר שתי מערכות של פטורים מוגבלים בנושא </w:t>
      </w:r>
      <w:r>
        <w:rPr>
          <w:rFonts w:ascii="Arial" w:hAnsi="Arial" w:hint="cs"/>
          <w:noProof w:val="0"/>
          <w:sz w:val="26"/>
          <w:szCs w:val="26"/>
          <w:rtl/>
        </w:rPr>
        <w:t>מס הכנסה: מערכת אחת ל</w:t>
      </w:r>
      <w:r w:rsidRPr="003C4440">
        <w:rPr>
          <w:rFonts w:ascii="Arial" w:hAnsi="Arial" w:hint="cs"/>
          <w:b/>
          <w:bCs/>
          <w:noProof w:val="0"/>
          <w:sz w:val="26"/>
          <w:szCs w:val="26"/>
          <w:rtl/>
        </w:rPr>
        <w:t>"יחיד שהיה לתושב ישראל לראשונה"</w:t>
      </w:r>
      <w:r>
        <w:rPr>
          <w:rFonts w:ascii="Arial" w:hAnsi="Arial" w:hint="cs"/>
          <w:noProof w:val="0"/>
          <w:sz w:val="26"/>
          <w:szCs w:val="26"/>
          <w:rtl/>
        </w:rPr>
        <w:t xml:space="preserve">, ומערכת שנייה, מצומצמת יותר, עבור </w:t>
      </w:r>
      <w:r>
        <w:rPr>
          <w:rFonts w:ascii="Arial" w:hAnsi="Arial" w:hint="cs"/>
          <w:b/>
          <w:bCs/>
          <w:noProof w:val="0"/>
          <w:sz w:val="26"/>
          <w:szCs w:val="26"/>
          <w:rtl/>
        </w:rPr>
        <w:t>"מי שחדל להיות תושב ישראל ושהה דרך קבע מחוץ לישראל שלוש שנים רצופות לפ</w:t>
      </w:r>
      <w:r w:rsidR="00C50984">
        <w:rPr>
          <w:rFonts w:ascii="Arial" w:hAnsi="Arial" w:hint="cs"/>
          <w:b/>
          <w:bCs/>
          <w:noProof w:val="0"/>
          <w:sz w:val="26"/>
          <w:szCs w:val="26"/>
          <w:rtl/>
        </w:rPr>
        <w:t>חות לאחר שחדל להיות תושב ישראל"</w:t>
      </w:r>
      <w:r w:rsidR="00C50984" w:rsidRPr="00C50984">
        <w:rPr>
          <w:rFonts w:ascii="Arial" w:hAnsi="Arial" w:hint="cs"/>
          <w:noProof w:val="0"/>
          <w:sz w:val="26"/>
          <w:szCs w:val="26"/>
          <w:rtl/>
        </w:rPr>
        <w:t>, דהיינו, "תושב חוזר".</w:t>
      </w:r>
      <w:r w:rsidR="00C50984">
        <w:rPr>
          <w:rFonts w:ascii="Arial" w:hAnsi="Arial" w:hint="cs"/>
          <w:b/>
          <w:bCs/>
          <w:noProof w:val="0"/>
          <w:sz w:val="26"/>
          <w:szCs w:val="26"/>
          <w:rtl/>
        </w:rPr>
        <w:t xml:space="preserve"> </w:t>
      </w:r>
    </w:p>
    <w:p w:rsidR="001F07FA" w:rsidRPr="003C4440" w:rsidRDefault="001F07FA" w:rsidP="003C4440">
      <w:pPr>
        <w:pStyle w:val="ad"/>
        <w:spacing w:line="360" w:lineRule="auto"/>
        <w:ind w:left="587"/>
        <w:jc w:val="both"/>
        <w:rPr>
          <w:rFonts w:ascii="Arial" w:hAnsi="Arial"/>
          <w:noProof w:val="0"/>
          <w:sz w:val="26"/>
          <w:szCs w:val="26"/>
        </w:rPr>
      </w:pPr>
    </w:p>
    <w:p w:rsidR="001F07FA" w:rsidRDefault="00F96F09" w:rsidP="00E24FE2">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והנה </w:t>
      </w:r>
      <w:r w:rsidR="001F07FA">
        <w:rPr>
          <w:rFonts w:ascii="Arial" w:hAnsi="Arial" w:hint="cs"/>
          <w:noProof w:val="0"/>
          <w:sz w:val="26"/>
          <w:szCs w:val="26"/>
          <w:rtl/>
        </w:rPr>
        <w:t xml:space="preserve">אגב תיקון מס' 168 </w:t>
      </w:r>
      <w:r w:rsidR="00E24FE2">
        <w:rPr>
          <w:rFonts w:ascii="Arial" w:hAnsi="Arial" w:hint="cs"/>
          <w:noProof w:val="0"/>
          <w:sz w:val="26"/>
          <w:szCs w:val="26"/>
          <w:rtl/>
        </w:rPr>
        <w:t>ל</w:t>
      </w:r>
      <w:r>
        <w:rPr>
          <w:rFonts w:ascii="Arial" w:hAnsi="Arial" w:hint="cs"/>
          <w:noProof w:val="0"/>
          <w:sz w:val="26"/>
          <w:szCs w:val="26"/>
          <w:rtl/>
        </w:rPr>
        <w:t>פקודה והכנס</w:t>
      </w:r>
      <w:r w:rsidR="001F07FA">
        <w:rPr>
          <w:rFonts w:ascii="Arial" w:hAnsi="Arial" w:hint="cs"/>
          <w:noProof w:val="0"/>
          <w:sz w:val="26"/>
          <w:szCs w:val="26"/>
          <w:rtl/>
        </w:rPr>
        <w:t>ת שינויים נרחבים בחבי</w:t>
      </w:r>
      <w:r w:rsidR="00E24FE2">
        <w:rPr>
          <w:rFonts w:ascii="Arial" w:hAnsi="Arial" w:hint="cs"/>
          <w:noProof w:val="0"/>
          <w:sz w:val="26"/>
          <w:szCs w:val="26"/>
          <w:rtl/>
        </w:rPr>
        <w:t>ל</w:t>
      </w:r>
      <w:r w:rsidR="001F07FA">
        <w:rPr>
          <w:rFonts w:ascii="Arial" w:hAnsi="Arial" w:hint="cs"/>
          <w:noProof w:val="0"/>
          <w:sz w:val="26"/>
          <w:szCs w:val="26"/>
          <w:rtl/>
        </w:rPr>
        <w:t>ת הפטורים וההק</w:t>
      </w:r>
      <w:r w:rsidR="00E24FE2">
        <w:rPr>
          <w:rFonts w:ascii="Arial" w:hAnsi="Arial" w:hint="cs"/>
          <w:noProof w:val="0"/>
          <w:sz w:val="26"/>
          <w:szCs w:val="26"/>
          <w:rtl/>
        </w:rPr>
        <w:t>ל</w:t>
      </w:r>
      <w:r w:rsidR="001F07FA">
        <w:rPr>
          <w:rFonts w:ascii="Arial" w:hAnsi="Arial" w:hint="cs"/>
          <w:noProof w:val="0"/>
          <w:sz w:val="26"/>
          <w:szCs w:val="26"/>
          <w:rtl/>
        </w:rPr>
        <w:t xml:space="preserve">ות </w:t>
      </w:r>
      <w:r>
        <w:rPr>
          <w:rFonts w:ascii="Arial" w:hAnsi="Arial" w:hint="cs"/>
          <w:noProof w:val="0"/>
          <w:sz w:val="26"/>
          <w:szCs w:val="26"/>
          <w:rtl/>
        </w:rPr>
        <w:t>ש</w:t>
      </w:r>
      <w:r w:rsidR="001F07FA">
        <w:rPr>
          <w:rFonts w:ascii="Arial" w:hAnsi="Arial" w:hint="cs"/>
          <w:noProof w:val="0"/>
          <w:sz w:val="26"/>
          <w:szCs w:val="26"/>
          <w:rtl/>
        </w:rPr>
        <w:t xml:space="preserve">בסעיף 14, נקבע כי ההטבות המוענקות </w:t>
      </w:r>
      <w:r w:rsidR="00E24FE2">
        <w:rPr>
          <w:rFonts w:ascii="Arial" w:hAnsi="Arial" w:hint="cs"/>
          <w:noProof w:val="0"/>
          <w:sz w:val="26"/>
          <w:szCs w:val="26"/>
          <w:rtl/>
        </w:rPr>
        <w:t>ל</w:t>
      </w:r>
      <w:r w:rsidR="001F07FA">
        <w:rPr>
          <w:rFonts w:ascii="Arial" w:hAnsi="Arial" w:hint="cs"/>
          <w:noProof w:val="0"/>
          <w:sz w:val="26"/>
          <w:szCs w:val="26"/>
          <w:rtl/>
        </w:rPr>
        <w:t xml:space="preserve">"יחיד שהיה </w:t>
      </w:r>
      <w:r w:rsidR="00E24FE2">
        <w:rPr>
          <w:rFonts w:ascii="Arial" w:hAnsi="Arial" w:hint="cs"/>
          <w:noProof w:val="0"/>
          <w:sz w:val="26"/>
          <w:szCs w:val="26"/>
          <w:rtl/>
        </w:rPr>
        <w:t>ל</w:t>
      </w:r>
      <w:r w:rsidR="001F07FA">
        <w:rPr>
          <w:rFonts w:ascii="Arial" w:hAnsi="Arial" w:hint="cs"/>
          <w:noProof w:val="0"/>
          <w:sz w:val="26"/>
          <w:szCs w:val="26"/>
          <w:rtl/>
        </w:rPr>
        <w:t>תושב ישרא</w:t>
      </w:r>
      <w:r w:rsidR="00E24FE2">
        <w:rPr>
          <w:rFonts w:ascii="Arial" w:hAnsi="Arial" w:hint="cs"/>
          <w:noProof w:val="0"/>
          <w:sz w:val="26"/>
          <w:szCs w:val="26"/>
          <w:rtl/>
        </w:rPr>
        <w:t>ל</w:t>
      </w:r>
      <w:r w:rsidR="001F07FA">
        <w:rPr>
          <w:rFonts w:ascii="Arial" w:hAnsi="Arial" w:hint="cs"/>
          <w:noProof w:val="0"/>
          <w:sz w:val="26"/>
          <w:szCs w:val="26"/>
          <w:rtl/>
        </w:rPr>
        <w:t xml:space="preserve"> </w:t>
      </w:r>
      <w:r w:rsidR="00E24FE2">
        <w:rPr>
          <w:rFonts w:ascii="Arial" w:hAnsi="Arial" w:hint="cs"/>
          <w:noProof w:val="0"/>
          <w:sz w:val="26"/>
          <w:szCs w:val="26"/>
          <w:rtl/>
        </w:rPr>
        <w:t>ל</w:t>
      </w:r>
      <w:r w:rsidR="001F07FA">
        <w:rPr>
          <w:rFonts w:ascii="Arial" w:hAnsi="Arial" w:hint="cs"/>
          <w:noProof w:val="0"/>
          <w:sz w:val="26"/>
          <w:szCs w:val="26"/>
          <w:rtl/>
        </w:rPr>
        <w:t xml:space="preserve">ראשונה" יינתנו אף </w:t>
      </w:r>
      <w:r w:rsidR="00E24FE2">
        <w:rPr>
          <w:rFonts w:ascii="Arial" w:hAnsi="Arial" w:hint="cs"/>
          <w:noProof w:val="0"/>
          <w:sz w:val="26"/>
          <w:szCs w:val="26"/>
          <w:rtl/>
        </w:rPr>
        <w:t>ל</w:t>
      </w:r>
      <w:r w:rsidR="001F07FA">
        <w:rPr>
          <w:rFonts w:ascii="Arial" w:hAnsi="Arial" w:hint="cs"/>
          <w:noProof w:val="0"/>
          <w:sz w:val="26"/>
          <w:szCs w:val="26"/>
          <w:rtl/>
        </w:rPr>
        <w:t xml:space="preserve">"תושב חוזר ותיק". </w:t>
      </w:r>
    </w:p>
    <w:p w:rsidR="0005783D" w:rsidRDefault="0005783D" w:rsidP="0005783D">
      <w:pPr>
        <w:pStyle w:val="ad"/>
        <w:spacing w:line="360" w:lineRule="auto"/>
        <w:ind w:left="587"/>
        <w:jc w:val="both"/>
        <w:rPr>
          <w:rFonts w:ascii="Arial" w:hAnsi="Arial"/>
          <w:noProof w:val="0"/>
          <w:sz w:val="26"/>
          <w:szCs w:val="26"/>
          <w:rtl/>
        </w:rPr>
      </w:pPr>
    </w:p>
    <w:p w:rsidR="001F07FA" w:rsidRDefault="001F07FA" w:rsidP="0005783D">
      <w:pPr>
        <w:pStyle w:val="ad"/>
        <w:spacing w:line="360" w:lineRule="auto"/>
        <w:ind w:left="587"/>
        <w:jc w:val="both"/>
        <w:rPr>
          <w:rFonts w:ascii="Arial" w:hAnsi="Arial"/>
          <w:b/>
          <w:bCs/>
          <w:noProof w:val="0"/>
          <w:sz w:val="26"/>
          <w:szCs w:val="26"/>
          <w:rtl/>
        </w:rPr>
      </w:pPr>
      <w:r>
        <w:rPr>
          <w:rFonts w:ascii="Arial" w:hAnsi="Arial" w:hint="cs"/>
          <w:noProof w:val="0"/>
          <w:sz w:val="26"/>
          <w:szCs w:val="26"/>
          <w:rtl/>
        </w:rPr>
        <w:t xml:space="preserve">מונח אחרון זה הוגדר כדלקמן (סעיף 14(א) לפקודה): </w:t>
      </w:r>
      <w:r>
        <w:rPr>
          <w:rFonts w:ascii="Arial" w:hAnsi="Arial" w:hint="cs"/>
          <w:b/>
          <w:bCs/>
          <w:noProof w:val="0"/>
          <w:sz w:val="26"/>
          <w:szCs w:val="26"/>
          <w:rtl/>
        </w:rPr>
        <w:t>"יחיד ששב והיה לתושב ישראל לאחר שהיה תושב חוץ במשך עשר שנים רצופות לפחות"</w:t>
      </w:r>
      <w:r w:rsidR="0005783D" w:rsidRPr="0005783D">
        <w:rPr>
          <w:rFonts w:ascii="Arial" w:hAnsi="Arial" w:hint="cs"/>
          <w:noProof w:val="0"/>
          <w:sz w:val="26"/>
          <w:szCs w:val="26"/>
          <w:rtl/>
        </w:rPr>
        <w:t>.</w:t>
      </w:r>
      <w:r w:rsidR="0005783D">
        <w:rPr>
          <w:rFonts w:ascii="Arial" w:hAnsi="Arial" w:hint="cs"/>
          <w:b/>
          <w:bCs/>
          <w:noProof w:val="0"/>
          <w:sz w:val="26"/>
          <w:szCs w:val="26"/>
          <w:rtl/>
        </w:rPr>
        <w:t xml:space="preserve"> </w:t>
      </w:r>
      <w:r>
        <w:rPr>
          <w:rFonts w:ascii="Arial" w:hAnsi="Arial" w:hint="cs"/>
          <w:b/>
          <w:bCs/>
          <w:noProof w:val="0"/>
          <w:sz w:val="26"/>
          <w:szCs w:val="26"/>
          <w:rtl/>
        </w:rPr>
        <w:t xml:space="preserve"> </w:t>
      </w:r>
    </w:p>
    <w:p w:rsidR="0005783D" w:rsidRDefault="0005783D" w:rsidP="0005783D">
      <w:pPr>
        <w:pStyle w:val="ad"/>
        <w:spacing w:line="360" w:lineRule="auto"/>
        <w:ind w:left="587"/>
        <w:jc w:val="both"/>
        <w:rPr>
          <w:rFonts w:ascii="Arial" w:hAnsi="Arial"/>
          <w:b/>
          <w:bCs/>
          <w:noProof w:val="0"/>
          <w:sz w:val="26"/>
          <w:szCs w:val="26"/>
          <w:rtl/>
        </w:rPr>
      </w:pPr>
    </w:p>
    <w:p w:rsidR="0005783D" w:rsidRPr="0005783D" w:rsidRDefault="0005783D" w:rsidP="0005783D">
      <w:pPr>
        <w:pStyle w:val="ad"/>
        <w:spacing w:line="360" w:lineRule="auto"/>
        <w:ind w:left="587"/>
        <w:jc w:val="both"/>
        <w:rPr>
          <w:rFonts w:ascii="Arial" w:hAnsi="Arial"/>
          <w:noProof w:val="0"/>
          <w:sz w:val="26"/>
          <w:szCs w:val="26"/>
        </w:rPr>
      </w:pPr>
      <w:r w:rsidRPr="0005783D">
        <w:rPr>
          <w:rFonts w:ascii="Arial" w:hAnsi="Arial" w:hint="cs"/>
          <w:noProof w:val="0"/>
          <w:sz w:val="26"/>
          <w:szCs w:val="26"/>
          <w:rtl/>
        </w:rPr>
        <w:t>כאמור, במוקד הערר דנן עומדת השאלה האם השוואת המעמד</w:t>
      </w:r>
      <w:r w:rsidR="00F96F09">
        <w:rPr>
          <w:rFonts w:ascii="Arial" w:hAnsi="Arial" w:hint="cs"/>
          <w:noProof w:val="0"/>
          <w:sz w:val="26"/>
          <w:szCs w:val="26"/>
          <w:rtl/>
        </w:rPr>
        <w:t xml:space="preserve"> בין תושב ישראל לראשונה ובין תושב חוזר ותיק,</w:t>
      </w:r>
      <w:r w:rsidRPr="0005783D">
        <w:rPr>
          <w:rFonts w:ascii="Arial" w:hAnsi="Arial" w:hint="cs"/>
          <w:noProof w:val="0"/>
          <w:sz w:val="26"/>
          <w:szCs w:val="26"/>
          <w:rtl/>
        </w:rPr>
        <w:t xml:space="preserve"> שנעשתה לעניין סעיף 14 לפקודת מס הכנסה</w:t>
      </w:r>
      <w:r w:rsidR="00F96F09">
        <w:rPr>
          <w:rFonts w:ascii="Arial" w:hAnsi="Arial" w:hint="cs"/>
          <w:noProof w:val="0"/>
          <w:sz w:val="26"/>
          <w:szCs w:val="26"/>
          <w:rtl/>
        </w:rPr>
        <w:t>,</w:t>
      </w:r>
      <w:r w:rsidRPr="0005783D">
        <w:rPr>
          <w:rFonts w:ascii="Arial" w:hAnsi="Arial" w:hint="cs"/>
          <w:noProof w:val="0"/>
          <w:sz w:val="26"/>
          <w:szCs w:val="26"/>
          <w:rtl/>
        </w:rPr>
        <w:t xml:space="preserve"> חולש</w:t>
      </w:r>
      <w:r w:rsidR="00F96F09">
        <w:rPr>
          <w:rFonts w:ascii="Arial" w:hAnsi="Arial" w:hint="cs"/>
          <w:noProof w:val="0"/>
          <w:sz w:val="26"/>
          <w:szCs w:val="26"/>
          <w:rtl/>
        </w:rPr>
        <w:t>ת גם על תקנה 12 לעניין מס רכישה ומשפיעה על פרשנותה.</w:t>
      </w:r>
      <w:r w:rsidRPr="0005783D">
        <w:rPr>
          <w:rFonts w:ascii="Arial" w:hAnsi="Arial" w:hint="cs"/>
          <w:noProof w:val="0"/>
          <w:sz w:val="26"/>
          <w:szCs w:val="26"/>
          <w:rtl/>
        </w:rPr>
        <w:t xml:space="preserve"> </w:t>
      </w:r>
    </w:p>
    <w:p w:rsidR="007B6D61" w:rsidRPr="007B6D61" w:rsidRDefault="007B6D61" w:rsidP="007B6D61">
      <w:pPr>
        <w:pStyle w:val="ad"/>
        <w:spacing w:line="360" w:lineRule="auto"/>
        <w:jc w:val="both"/>
        <w:rPr>
          <w:rFonts w:ascii="Arial" w:hAnsi="Arial"/>
          <w:b/>
          <w:bCs/>
          <w:noProof w:val="0"/>
          <w:sz w:val="32"/>
          <w:szCs w:val="32"/>
          <w:u w:val="single"/>
        </w:rPr>
      </w:pPr>
    </w:p>
    <w:p w:rsidR="007B6D61" w:rsidRPr="007B6D61" w:rsidRDefault="007B6D61" w:rsidP="007B6D61">
      <w:pPr>
        <w:pStyle w:val="ad"/>
        <w:spacing w:line="360" w:lineRule="auto"/>
        <w:jc w:val="both"/>
        <w:rPr>
          <w:rFonts w:ascii="Arial" w:hAnsi="Arial"/>
          <w:b/>
          <w:bCs/>
          <w:noProof w:val="0"/>
          <w:sz w:val="32"/>
          <w:szCs w:val="32"/>
          <w:u w:val="single"/>
        </w:rPr>
      </w:pPr>
    </w:p>
    <w:p w:rsidR="007B6D61" w:rsidRPr="007B6D61" w:rsidRDefault="007B6D61" w:rsidP="007B6D61">
      <w:pPr>
        <w:pStyle w:val="ad"/>
        <w:spacing w:line="360" w:lineRule="auto"/>
        <w:jc w:val="both"/>
        <w:rPr>
          <w:rFonts w:ascii="Arial" w:hAnsi="Arial"/>
          <w:b/>
          <w:bCs/>
          <w:noProof w:val="0"/>
          <w:sz w:val="32"/>
          <w:szCs w:val="32"/>
          <w:u w:val="single"/>
        </w:rPr>
      </w:pPr>
    </w:p>
    <w:p w:rsidR="00694556" w:rsidRPr="00D42F5D" w:rsidRDefault="00172BC5" w:rsidP="0005783D">
      <w:pPr>
        <w:pStyle w:val="ad"/>
        <w:numPr>
          <w:ilvl w:val="0"/>
          <w:numId w:val="1"/>
        </w:numPr>
        <w:spacing w:line="360" w:lineRule="auto"/>
        <w:jc w:val="both"/>
        <w:rPr>
          <w:rFonts w:ascii="Arial" w:hAnsi="Arial"/>
          <w:b/>
          <w:bCs/>
          <w:noProof w:val="0"/>
          <w:sz w:val="32"/>
          <w:szCs w:val="32"/>
          <w:u w:val="single"/>
          <w:rtl/>
        </w:rPr>
      </w:pPr>
      <w:r>
        <w:rPr>
          <w:rFonts w:ascii="Arial" w:hAnsi="Arial" w:hint="cs"/>
          <w:b/>
          <w:bCs/>
          <w:noProof w:val="0"/>
          <w:sz w:val="32"/>
          <w:szCs w:val="32"/>
          <w:u w:val="single"/>
          <w:rtl/>
        </w:rPr>
        <w:t>טיעון העוררים</w:t>
      </w:r>
    </w:p>
    <w:p w:rsidR="0005783D" w:rsidRDefault="00172BC5" w:rsidP="00D42F5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לפי עמדת העוררים: </w:t>
      </w:r>
    </w:p>
    <w:p w:rsidR="00172BC5" w:rsidRDefault="00172BC5" w:rsidP="00172BC5">
      <w:pPr>
        <w:pStyle w:val="ad"/>
        <w:spacing w:line="360" w:lineRule="auto"/>
        <w:ind w:left="587"/>
        <w:jc w:val="both"/>
        <w:rPr>
          <w:rFonts w:ascii="Arial" w:hAnsi="Arial"/>
          <w:noProof w:val="0"/>
          <w:sz w:val="26"/>
          <w:szCs w:val="26"/>
          <w:rtl/>
        </w:rPr>
      </w:pP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r w:rsidRPr="00C326AC">
        <w:rPr>
          <w:rFonts w:ascii="Arial" w:hAnsi="Arial" w:hint="cs"/>
          <w:b/>
          <w:bCs/>
          <w:noProof w:val="0"/>
          <w:sz w:val="26"/>
          <w:szCs w:val="26"/>
          <w:rtl/>
        </w:rPr>
        <w:t xml:space="preserve">העוררים טוענים כי בלשון תקנה 12(א) שחוקקה בשנת 1987 </w:t>
      </w:r>
      <w:r w:rsidRPr="00C326AC">
        <w:rPr>
          <w:rFonts w:ascii="Arial" w:hAnsi="Arial"/>
          <w:b/>
          <w:bCs/>
          <w:noProof w:val="0"/>
          <w:sz w:val="26"/>
          <w:szCs w:val="26"/>
          <w:rtl/>
        </w:rPr>
        <w:t>–</w:t>
      </w:r>
      <w:r w:rsidRPr="00C326AC">
        <w:rPr>
          <w:rFonts w:ascii="Arial" w:hAnsi="Arial" w:hint="cs"/>
          <w:b/>
          <w:bCs/>
          <w:noProof w:val="0"/>
          <w:sz w:val="26"/>
          <w:szCs w:val="26"/>
          <w:rtl/>
        </w:rPr>
        <w:t xml:space="preserve"> </w:t>
      </w:r>
      <w:r w:rsidRPr="004674EB">
        <w:rPr>
          <w:rFonts w:ascii="Arial" w:hAnsi="Arial" w:hint="cs"/>
          <w:noProof w:val="0"/>
          <w:sz w:val="26"/>
          <w:szCs w:val="26"/>
          <w:rtl/>
        </w:rPr>
        <w:t>[ה]</w:t>
      </w:r>
      <w:r w:rsidRPr="00C326AC">
        <w:rPr>
          <w:rFonts w:ascii="Arial" w:hAnsi="Arial" w:hint="cs"/>
          <w:b/>
          <w:bCs/>
          <w:noProof w:val="0"/>
          <w:sz w:val="26"/>
          <w:szCs w:val="26"/>
          <w:rtl/>
        </w:rPr>
        <w:t xml:space="preserve">ביטוי 'עולה' </w:t>
      </w:r>
      <w:r w:rsidRPr="00C326AC">
        <w:rPr>
          <w:rFonts w:ascii="Arial" w:hAnsi="Arial"/>
          <w:b/>
          <w:bCs/>
          <w:noProof w:val="0"/>
          <w:sz w:val="26"/>
          <w:szCs w:val="26"/>
          <w:rtl/>
        </w:rPr>
        <w:t>–</w:t>
      </w:r>
      <w:r w:rsidRPr="00C326AC">
        <w:rPr>
          <w:rFonts w:ascii="Arial" w:hAnsi="Arial" w:hint="cs"/>
          <w:b/>
          <w:bCs/>
          <w:noProof w:val="0"/>
          <w:sz w:val="26"/>
          <w:szCs w:val="26"/>
          <w:rtl/>
        </w:rPr>
        <w:t xml:space="preserve"> כבר אינו רלוונטי במשמעותו דאז לחוקי המס, לאור תיקוני החקיקה שנעשו מאז בחוקים העיקריים (פק' מס הכנסה וחוק מיסוי מקרקעין) כפי שיובאו להלן, ולפיכך יש לפרש את הביטוי 'עולה' פרשנות מרחיב.</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44761E" w:rsidRDefault="0044761E"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לא יכול להיות כל ספק כי מעמדה של נטע כ'תושב חוזר ותיק' מיישם את רצון המחוקק לקשור בין ההטבה במס רכישה שבתקנה 12</w:t>
      </w:r>
      <w:r w:rsidR="00610DF0">
        <w:rPr>
          <w:rFonts w:ascii="Arial" w:hAnsi="Arial" w:hint="cs"/>
          <w:b/>
          <w:bCs/>
          <w:noProof w:val="0"/>
          <w:sz w:val="26"/>
          <w:szCs w:val="26"/>
          <w:rtl/>
        </w:rPr>
        <w:t>(ב)</w:t>
      </w:r>
      <w:r>
        <w:rPr>
          <w:rFonts w:ascii="Arial" w:hAnsi="Arial" w:hint="cs"/>
          <w:b/>
          <w:bCs/>
          <w:noProof w:val="0"/>
          <w:sz w:val="26"/>
          <w:szCs w:val="26"/>
          <w:rtl/>
        </w:rPr>
        <w:t xml:space="preserve"> לבין השתקעות בישראל שהביטוי הכי משמעותי לכך, </w:t>
      </w:r>
      <w:r w:rsidR="00610DF0">
        <w:rPr>
          <w:rFonts w:ascii="Arial" w:hAnsi="Arial" w:hint="cs"/>
          <w:b/>
          <w:bCs/>
          <w:noProof w:val="0"/>
          <w:sz w:val="26"/>
          <w:szCs w:val="26"/>
          <w:rtl/>
        </w:rPr>
        <w:t>הינה רכישת דירת המגורים בישראל נשוא ערר זה...</w:t>
      </w:r>
    </w:p>
    <w:p w:rsidR="00610DF0" w:rsidRPr="00C326AC" w:rsidRDefault="00610DF0"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במסגרת תיקוני החקיקה משנת 2008 חוקק </w:t>
      </w:r>
      <w:r w:rsidRPr="004674EB">
        <w:rPr>
          <w:rFonts w:ascii="Arial" w:hAnsi="Arial" w:hint="cs"/>
          <w:noProof w:val="0"/>
          <w:sz w:val="26"/>
          <w:szCs w:val="26"/>
          <w:rtl/>
        </w:rPr>
        <w:t>[תיקון מס' 168 לפקודת מס הכנסה]</w:t>
      </w:r>
      <w:r>
        <w:rPr>
          <w:rFonts w:ascii="Arial" w:hAnsi="Arial" w:hint="cs"/>
          <w:b/>
          <w:bCs/>
          <w:noProof w:val="0"/>
          <w:sz w:val="26"/>
          <w:szCs w:val="26"/>
          <w:rtl/>
        </w:rPr>
        <w:t xml:space="preserve"> שעניינו רפורמה מקיפה ומתן הטבות ופטורים ממס לצורך עידוד תושבי חוץ ותושבים חוזרים להגיע לישראל ולהשתקע בה. במסגרת תיקון 168 נעלמה מן העולם הגדרת 'עולה' ונקבעו 2 קטגוריות חדשות במסגרת תיקון הגדרת 'תושב ישראל' לזכאים להטבות המס המיועדות לעודד עליה לישראל: 'תושב ישראל לראשונה'... </w:t>
      </w:r>
      <w:r w:rsidRPr="004674EB">
        <w:rPr>
          <w:rFonts w:ascii="Arial" w:hAnsi="Arial" w:hint="cs"/>
          <w:noProof w:val="0"/>
          <w:sz w:val="26"/>
          <w:szCs w:val="26"/>
          <w:rtl/>
        </w:rPr>
        <w:t>[ו]</w:t>
      </w:r>
      <w:r>
        <w:rPr>
          <w:rFonts w:ascii="Arial" w:hAnsi="Arial" w:hint="cs"/>
          <w:noProof w:val="0"/>
          <w:sz w:val="26"/>
          <w:szCs w:val="26"/>
          <w:rtl/>
        </w:rPr>
        <w:t xml:space="preserve"> </w:t>
      </w:r>
      <w:r>
        <w:rPr>
          <w:rFonts w:ascii="Arial" w:hAnsi="Arial" w:hint="cs"/>
          <w:b/>
          <w:bCs/>
          <w:noProof w:val="0"/>
          <w:sz w:val="26"/>
          <w:szCs w:val="26"/>
          <w:rtl/>
        </w:rPr>
        <w:t>'תושב חוזר ותיק'...</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גם במסגרת חוק מיסוי מקרקעין </w:t>
      </w:r>
      <w:r w:rsidRPr="004674EB">
        <w:rPr>
          <w:rFonts w:ascii="Arial" w:hAnsi="Arial" w:hint="cs"/>
          <w:noProof w:val="0"/>
          <w:sz w:val="26"/>
          <w:szCs w:val="26"/>
          <w:rtl/>
        </w:rPr>
        <w:t xml:space="preserve">[הכוונה לסעיף 9(ג1ג) </w:t>
      </w:r>
      <w:r w:rsidRPr="004674EB">
        <w:rPr>
          <w:rFonts w:ascii="Arial" w:hAnsi="Arial"/>
          <w:noProof w:val="0"/>
          <w:sz w:val="26"/>
          <w:szCs w:val="26"/>
          <w:rtl/>
        </w:rPr>
        <w:t>–</w:t>
      </w:r>
      <w:r w:rsidRPr="004674EB">
        <w:rPr>
          <w:rFonts w:ascii="Arial" w:hAnsi="Arial" w:hint="cs"/>
          <w:noProof w:val="0"/>
          <w:sz w:val="26"/>
          <w:szCs w:val="26"/>
          <w:rtl/>
        </w:rPr>
        <w:t xml:space="preserve"> ה"ק] </w:t>
      </w:r>
      <w:r>
        <w:rPr>
          <w:rFonts w:ascii="Arial" w:hAnsi="Arial" w:hint="cs"/>
          <w:b/>
          <w:bCs/>
          <w:noProof w:val="0"/>
          <w:sz w:val="26"/>
          <w:szCs w:val="26"/>
          <w:rtl/>
        </w:rPr>
        <w:t>תוקנה הגדרת 'תושב ישראל' והותאמה להגדרה שבפקודת מס הכנסה וגם בה אין כל התייחסות ל'עולה'...</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תכלית החקיקה בכל הקשור להטבות במס ל'תושב חוזר ותיק' במסגרת תיקון 168, נועדה להשוות לגמרי את הטבות המס ואת המעמד שלו לזה של 'תושב ישראל לראשונה' ('עולה')...</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172BC5" w:rsidRDefault="00172BC5" w:rsidP="00172BC5">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טענת העוררים היא כי בקריאה של לשון תקנה 12 יחד עם תיקוני פקודת מס הכנסה, חוק מיסוי מקרקעין ותקנות מיסוי מקרקעין שהובאו לעיל, עולה בבירור כי כוונת המחוקק הייתה להשוות את זכויות בכל הפרמטרים בין 'תושב ישראל לראשונה' ('עולה') לבין תושב חוזר ותיק."</w:t>
      </w:r>
    </w:p>
    <w:p w:rsidR="00172BC5" w:rsidRDefault="00172BC5" w:rsidP="00172BC5">
      <w:pPr>
        <w:spacing w:line="360" w:lineRule="auto"/>
        <w:ind w:left="1134" w:right="567"/>
        <w:jc w:val="both"/>
        <w:rPr>
          <w:rFonts w:ascii="Arial" w:hAnsi="Arial"/>
          <w:noProof w:val="0"/>
          <w:sz w:val="26"/>
          <w:szCs w:val="26"/>
          <w:rtl/>
        </w:rPr>
      </w:pPr>
      <w:r>
        <w:rPr>
          <w:rFonts w:ascii="Arial" w:hAnsi="Arial" w:hint="cs"/>
          <w:noProof w:val="0"/>
          <w:sz w:val="26"/>
          <w:szCs w:val="26"/>
          <w:rtl/>
        </w:rPr>
        <w:t>(מתוך סעיפים 15,</w:t>
      </w:r>
      <w:r w:rsidR="00610DF0">
        <w:rPr>
          <w:rFonts w:ascii="Arial" w:hAnsi="Arial" w:hint="cs"/>
          <w:noProof w:val="0"/>
          <w:sz w:val="26"/>
          <w:szCs w:val="26"/>
          <w:rtl/>
        </w:rPr>
        <w:t xml:space="preserve"> 26,</w:t>
      </w:r>
      <w:r>
        <w:rPr>
          <w:rFonts w:ascii="Arial" w:hAnsi="Arial" w:hint="cs"/>
          <w:noProof w:val="0"/>
          <w:sz w:val="26"/>
          <w:szCs w:val="26"/>
          <w:rtl/>
        </w:rPr>
        <w:t xml:space="preserve"> 29, 32, 50 ו- 53 לסיכומי העוררים)</w:t>
      </w:r>
    </w:p>
    <w:p w:rsidR="0005783D" w:rsidRDefault="0005783D" w:rsidP="0005783D">
      <w:pPr>
        <w:pStyle w:val="ad"/>
        <w:spacing w:line="360" w:lineRule="auto"/>
        <w:ind w:left="587"/>
        <w:jc w:val="both"/>
        <w:rPr>
          <w:rFonts w:ascii="Arial" w:hAnsi="Arial"/>
          <w:noProof w:val="0"/>
          <w:sz w:val="26"/>
          <w:szCs w:val="26"/>
        </w:rPr>
      </w:pPr>
    </w:p>
    <w:p w:rsidR="0005783D" w:rsidRDefault="0005783D" w:rsidP="00D42F5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אכן יש להודות כי מדברי ההסבר לחקיקת תיקון מס' 168 עשויה להשתמע כוונה </w:t>
      </w:r>
      <w:r>
        <w:rPr>
          <w:rFonts w:ascii="Arial" w:hAnsi="Arial" w:hint="cs"/>
          <w:b/>
          <w:bCs/>
          <w:noProof w:val="0"/>
          <w:sz w:val="26"/>
          <w:szCs w:val="26"/>
          <w:rtl/>
        </w:rPr>
        <w:t>כללית</w:t>
      </w:r>
      <w:r>
        <w:rPr>
          <w:rFonts w:ascii="Arial" w:hAnsi="Arial" w:hint="cs"/>
          <w:noProof w:val="0"/>
          <w:sz w:val="26"/>
          <w:szCs w:val="26"/>
          <w:rtl/>
        </w:rPr>
        <w:t xml:space="preserve"> להשוות את דינם של תושבים חוזרים ותיקים לדינם ש</w:t>
      </w:r>
      <w:r w:rsidR="00B53994">
        <w:rPr>
          <w:rFonts w:ascii="Arial" w:hAnsi="Arial" w:hint="cs"/>
          <w:noProof w:val="0"/>
          <w:sz w:val="26"/>
          <w:szCs w:val="26"/>
          <w:rtl/>
        </w:rPr>
        <w:t xml:space="preserve">ל תושבי ישראל לראשונה (ובכללם, עולים) </w:t>
      </w:r>
      <w:r w:rsidR="00B53994">
        <w:rPr>
          <w:rFonts w:ascii="Arial" w:hAnsi="Arial"/>
          <w:noProof w:val="0"/>
          <w:sz w:val="26"/>
          <w:szCs w:val="26"/>
          <w:rtl/>
        </w:rPr>
        <w:t>–</w:t>
      </w:r>
      <w:r w:rsidR="00B53994">
        <w:rPr>
          <w:rFonts w:ascii="Arial" w:hAnsi="Arial" w:hint="cs"/>
          <w:noProof w:val="0"/>
          <w:sz w:val="26"/>
          <w:szCs w:val="26"/>
          <w:rtl/>
        </w:rPr>
        <w:t xml:space="preserve"> בכל הקשר פיסקלי. </w:t>
      </w:r>
    </w:p>
    <w:p w:rsidR="00B53994" w:rsidRDefault="00B53994" w:rsidP="00B53994">
      <w:pPr>
        <w:pStyle w:val="ad"/>
        <w:spacing w:line="360" w:lineRule="auto"/>
        <w:ind w:left="587"/>
        <w:jc w:val="both"/>
        <w:rPr>
          <w:rFonts w:ascii="Arial" w:hAnsi="Arial"/>
          <w:noProof w:val="0"/>
          <w:sz w:val="26"/>
          <w:szCs w:val="26"/>
          <w:rtl/>
        </w:rPr>
      </w:pPr>
    </w:p>
    <w:p w:rsidR="00B53994" w:rsidRDefault="00B53994" w:rsidP="00B53994">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הרי כך נכתב באותם דברי הסבר (הצעות חוק הממשלה 396, מיום 30.6.2008, עמוד 644 ואילך): </w:t>
      </w:r>
    </w:p>
    <w:p w:rsidR="00B53994" w:rsidRPr="00524F9E" w:rsidRDefault="00B53994" w:rsidP="00B53994">
      <w:pPr>
        <w:pStyle w:val="ad"/>
        <w:spacing w:line="360" w:lineRule="auto"/>
        <w:ind w:left="587"/>
        <w:jc w:val="both"/>
        <w:rPr>
          <w:rFonts w:ascii="Arial" w:hAnsi="Arial"/>
          <w:noProof w:val="0"/>
          <w:sz w:val="26"/>
          <w:szCs w:val="26"/>
          <w:rtl/>
        </w:rPr>
      </w:pPr>
    </w:p>
    <w:p w:rsidR="00135B49" w:rsidRPr="00524F9E" w:rsidRDefault="00135B49" w:rsidP="00135B49">
      <w:pPr>
        <w:pStyle w:val="ad"/>
        <w:spacing w:line="360" w:lineRule="auto"/>
        <w:ind w:left="1134" w:right="567"/>
        <w:jc w:val="both"/>
        <w:rPr>
          <w:rFonts w:ascii="Arial" w:hAnsi="Arial"/>
          <w:b/>
          <w:bCs/>
          <w:noProof w:val="0"/>
          <w:sz w:val="26"/>
          <w:szCs w:val="26"/>
          <w:rtl/>
        </w:rPr>
      </w:pPr>
      <w:r w:rsidRPr="00524F9E">
        <w:rPr>
          <w:rFonts w:ascii="Arial" w:hAnsi="Arial" w:hint="cs"/>
          <w:b/>
          <w:bCs/>
          <w:noProof w:val="0"/>
          <w:sz w:val="26"/>
          <w:szCs w:val="26"/>
          <w:rtl/>
        </w:rPr>
        <w:t>"מטרותיו העיקריות של החוק המוצע הן קליטת על</w:t>
      </w:r>
      <w:r w:rsidR="00524F9E" w:rsidRPr="00524F9E">
        <w:rPr>
          <w:rFonts w:ascii="Arial" w:hAnsi="Arial" w:hint="cs"/>
          <w:b/>
          <w:bCs/>
          <w:noProof w:val="0"/>
          <w:sz w:val="26"/>
          <w:szCs w:val="26"/>
          <w:rtl/>
        </w:rPr>
        <w:t>יה, החזרת הון אנושי איכותי למדינת ישראל ועידוד משקיעים בעלי יכולת כלכלית גב</w:t>
      </w:r>
      <w:r w:rsidR="00F96F09">
        <w:rPr>
          <w:rFonts w:ascii="Arial" w:hAnsi="Arial" w:hint="cs"/>
          <w:b/>
          <w:bCs/>
          <w:noProof w:val="0"/>
          <w:sz w:val="26"/>
          <w:szCs w:val="26"/>
          <w:rtl/>
        </w:rPr>
        <w:t>ו</w:t>
      </w:r>
      <w:r w:rsidR="00524F9E" w:rsidRPr="00524F9E">
        <w:rPr>
          <w:rFonts w:ascii="Arial" w:hAnsi="Arial" w:hint="cs"/>
          <w:b/>
          <w:bCs/>
          <w:noProof w:val="0"/>
          <w:sz w:val="26"/>
          <w:szCs w:val="26"/>
          <w:rtl/>
        </w:rPr>
        <w:t xml:space="preserve">הה להיות לתושבי ישראל. </w:t>
      </w:r>
    </w:p>
    <w:p w:rsidR="00524F9E" w:rsidRPr="00524F9E" w:rsidRDefault="00524F9E" w:rsidP="00F96F09">
      <w:pPr>
        <w:pStyle w:val="ad"/>
        <w:spacing w:line="360" w:lineRule="auto"/>
        <w:ind w:left="1134" w:right="567"/>
        <w:jc w:val="both"/>
        <w:rPr>
          <w:rFonts w:ascii="Arial" w:hAnsi="Arial"/>
          <w:b/>
          <w:bCs/>
          <w:noProof w:val="0"/>
          <w:sz w:val="26"/>
          <w:szCs w:val="26"/>
        </w:rPr>
      </w:pPr>
      <w:r w:rsidRPr="00524F9E">
        <w:rPr>
          <w:rFonts w:ascii="Arial" w:hAnsi="Arial" w:hint="cs"/>
          <w:b/>
          <w:bCs/>
          <w:noProof w:val="0"/>
          <w:sz w:val="26"/>
          <w:szCs w:val="26"/>
          <w:rtl/>
        </w:rPr>
        <w:t>לצורך השגת המטרות האמורות מוצעים בהצעת חוק זו כמה תיקונים לפקודת מס הכנסה</w:t>
      </w:r>
      <w:r w:rsidR="00F96F09">
        <w:rPr>
          <w:rFonts w:ascii="Arial" w:hAnsi="Arial" w:hint="cs"/>
          <w:b/>
          <w:bCs/>
          <w:noProof w:val="0"/>
          <w:sz w:val="26"/>
          <w:szCs w:val="26"/>
          <w:rtl/>
        </w:rPr>
        <w:t>...</w:t>
      </w:r>
      <w:r w:rsidRPr="00524F9E">
        <w:rPr>
          <w:rFonts w:ascii="Arial" w:hAnsi="Arial" w:hint="cs"/>
          <w:b/>
          <w:bCs/>
          <w:noProof w:val="0"/>
          <w:sz w:val="26"/>
          <w:szCs w:val="26"/>
          <w:rtl/>
        </w:rPr>
        <w:t xml:space="preserve"> ובין השאר בעניינים אלה:</w:t>
      </w:r>
      <w:r w:rsidR="00F96F09">
        <w:rPr>
          <w:rFonts w:ascii="Arial" w:hAnsi="Arial" w:hint="cs"/>
          <w:b/>
          <w:bCs/>
          <w:noProof w:val="0"/>
          <w:sz w:val="26"/>
          <w:szCs w:val="26"/>
          <w:rtl/>
        </w:rPr>
        <w:t xml:space="preserve"> - השווא</w:t>
      </w:r>
      <w:r w:rsidR="00B31DA0">
        <w:rPr>
          <w:rFonts w:ascii="Arial" w:hAnsi="Arial" w:hint="cs"/>
          <w:b/>
          <w:bCs/>
          <w:noProof w:val="0"/>
          <w:sz w:val="26"/>
          <w:szCs w:val="26"/>
          <w:rtl/>
        </w:rPr>
        <w:t>ת המעמד</w:t>
      </w:r>
      <w:r w:rsidRPr="00524F9E">
        <w:rPr>
          <w:rFonts w:ascii="Arial" w:hAnsi="Arial" w:hint="cs"/>
          <w:b/>
          <w:bCs/>
          <w:noProof w:val="0"/>
          <w:sz w:val="26"/>
          <w:szCs w:val="26"/>
          <w:rtl/>
        </w:rPr>
        <w:t xml:space="preserve">, לעניין מס, של יחיד שחדל להיות תושב ישראל ושב והיה לתושב כאמור לאחר עשר שנים לפחות (להלן </w:t>
      </w:r>
      <w:r w:rsidRPr="00524F9E">
        <w:rPr>
          <w:rFonts w:ascii="Arial" w:hAnsi="Arial"/>
          <w:b/>
          <w:bCs/>
          <w:noProof w:val="0"/>
          <w:sz w:val="26"/>
          <w:szCs w:val="26"/>
          <w:rtl/>
        </w:rPr>
        <w:t>–</w:t>
      </w:r>
      <w:r w:rsidRPr="00524F9E">
        <w:rPr>
          <w:rFonts w:ascii="Arial" w:hAnsi="Arial" w:hint="cs"/>
          <w:b/>
          <w:bCs/>
          <w:noProof w:val="0"/>
          <w:sz w:val="26"/>
          <w:szCs w:val="26"/>
          <w:rtl/>
        </w:rPr>
        <w:t xml:space="preserve"> תושב חוזר ותיק), למעמד, לעניין מס, של יחיד שהיה תושב ישראל לראשונה (להלן </w:t>
      </w:r>
      <w:r w:rsidRPr="00524F9E">
        <w:rPr>
          <w:rFonts w:ascii="Arial" w:hAnsi="Arial"/>
          <w:b/>
          <w:bCs/>
          <w:noProof w:val="0"/>
          <w:sz w:val="26"/>
          <w:szCs w:val="26"/>
          <w:rtl/>
        </w:rPr>
        <w:t>–</w:t>
      </w:r>
      <w:r w:rsidRPr="00524F9E">
        <w:rPr>
          <w:rFonts w:ascii="Arial" w:hAnsi="Arial" w:hint="cs"/>
          <w:b/>
          <w:bCs/>
          <w:noProof w:val="0"/>
          <w:sz w:val="26"/>
          <w:szCs w:val="26"/>
          <w:rtl/>
        </w:rPr>
        <w:t xml:space="preserve"> עולה חדש);</w:t>
      </w:r>
    </w:p>
    <w:p w:rsidR="00524F9E" w:rsidRDefault="00524F9E" w:rsidP="00B31DA0">
      <w:pPr>
        <w:spacing w:line="360" w:lineRule="auto"/>
        <w:ind w:left="1134" w:right="567"/>
        <w:jc w:val="both"/>
        <w:rPr>
          <w:rFonts w:ascii="Arial" w:hAnsi="Arial"/>
          <w:b/>
          <w:bCs/>
          <w:noProof w:val="0"/>
          <w:sz w:val="26"/>
          <w:szCs w:val="26"/>
          <w:rtl/>
        </w:rPr>
      </w:pPr>
      <w:r w:rsidRPr="00B31DA0">
        <w:rPr>
          <w:rFonts w:ascii="Arial" w:hAnsi="Arial" w:hint="cs"/>
          <w:b/>
          <w:bCs/>
          <w:noProof w:val="0"/>
          <w:sz w:val="26"/>
          <w:szCs w:val="26"/>
          <w:rtl/>
        </w:rPr>
        <w:t>...</w:t>
      </w:r>
    </w:p>
    <w:p w:rsidR="00B31DA0" w:rsidRDefault="00B31DA0" w:rsidP="00B31DA0">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 xml:space="preserve">כמו כן, מוצע להרחיב את הפטור האמור </w:t>
      </w:r>
      <w:r w:rsidR="00F96F09" w:rsidRPr="00F96F09">
        <w:rPr>
          <w:rFonts w:ascii="Arial" w:hAnsi="Arial" w:hint="cs"/>
          <w:noProof w:val="0"/>
          <w:sz w:val="26"/>
          <w:szCs w:val="26"/>
          <w:rtl/>
        </w:rPr>
        <w:t xml:space="preserve">[ממס הכנסה </w:t>
      </w:r>
      <w:r w:rsidR="00F96F09" w:rsidRPr="00F96F09">
        <w:rPr>
          <w:rFonts w:ascii="Arial" w:hAnsi="Arial"/>
          <w:noProof w:val="0"/>
          <w:sz w:val="26"/>
          <w:szCs w:val="26"/>
          <w:rtl/>
        </w:rPr>
        <w:t>–</w:t>
      </w:r>
      <w:r w:rsidR="00F96F09" w:rsidRPr="00F96F09">
        <w:rPr>
          <w:rFonts w:ascii="Arial" w:hAnsi="Arial" w:hint="cs"/>
          <w:noProof w:val="0"/>
          <w:sz w:val="26"/>
          <w:szCs w:val="26"/>
          <w:rtl/>
        </w:rPr>
        <w:t xml:space="preserve"> ה"ק]</w:t>
      </w:r>
      <w:r w:rsidR="00F96F09">
        <w:rPr>
          <w:rFonts w:ascii="Arial" w:hAnsi="Arial" w:hint="cs"/>
          <w:b/>
          <w:bCs/>
          <w:noProof w:val="0"/>
          <w:sz w:val="26"/>
          <w:szCs w:val="26"/>
          <w:rtl/>
        </w:rPr>
        <w:t xml:space="preserve"> </w:t>
      </w:r>
      <w:r>
        <w:rPr>
          <w:rFonts w:ascii="Arial" w:hAnsi="Arial" w:hint="cs"/>
          <w:b/>
          <w:bCs/>
          <w:noProof w:val="0"/>
          <w:sz w:val="26"/>
          <w:szCs w:val="26"/>
          <w:rtl/>
        </w:rPr>
        <w:t xml:space="preserve">גם לגבי הכנסות כאמור המופקות בידי תושב חוזר ותיק, ובכך להשוות את מעמדו, לעניין מיסוי, של תושב חוזר ותיק, למעמדו, לעניין מיסוי, של עולה חדש. </w:t>
      </w:r>
    </w:p>
    <w:p w:rsidR="00B31DA0" w:rsidRDefault="00B31DA0" w:rsidP="00B31DA0">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מטרת התיקונים האמורים לתת תמריצים לאוכלוסיית העולים והתושבים החוזרים הוותיקים לעלות לישראל במטרה להחזיר הון אנושי איכותי לישראל אשר ישקיע בפיתוח תכניות ארוכות טווח שיתרמו לפיתוח המשק, וכן במטרה למנוע תכנוני מס מיותרים ולהפחית את החיכוך עם רשויות המס.</w:t>
      </w:r>
    </w:p>
    <w:p w:rsidR="00B31DA0" w:rsidRDefault="00B31DA0" w:rsidP="00B31DA0">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B31DA0" w:rsidRPr="00B31DA0" w:rsidRDefault="00B31DA0" w:rsidP="00B31DA0">
      <w:pPr>
        <w:spacing w:line="360" w:lineRule="auto"/>
        <w:ind w:left="1134" w:right="567"/>
        <w:jc w:val="both"/>
        <w:rPr>
          <w:rFonts w:ascii="Arial" w:hAnsi="Arial"/>
          <w:b/>
          <w:bCs/>
          <w:noProof w:val="0"/>
          <w:sz w:val="26"/>
          <w:szCs w:val="26"/>
          <w:rtl/>
        </w:rPr>
      </w:pPr>
      <w:r>
        <w:rPr>
          <w:rFonts w:ascii="Arial" w:hAnsi="Arial" w:hint="cs"/>
          <w:b/>
          <w:bCs/>
          <w:noProof w:val="0"/>
          <w:sz w:val="26"/>
          <w:szCs w:val="26"/>
          <w:rtl/>
        </w:rPr>
        <w:t>שהות ארוכה שכזו מחוץ לישראל, המצביעה על ניתוק אמיתי ולאורך זמן ממדינת ישראל, מצדיקה את השוואת מעמדו, לעניין מס, של יחיד כאמור, למעמדו, לעניין מס, של עולה חדש."</w:t>
      </w:r>
    </w:p>
    <w:p w:rsidR="00B53994" w:rsidRPr="00B53994" w:rsidRDefault="004A3EB0" w:rsidP="00B53994">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          </w:t>
      </w:r>
      <w:r w:rsidR="00B53994" w:rsidRPr="00B53994">
        <w:rPr>
          <w:rFonts w:ascii="Arial" w:hAnsi="Arial" w:hint="cs"/>
          <w:noProof w:val="0"/>
          <w:sz w:val="26"/>
          <w:szCs w:val="26"/>
          <w:rtl/>
        </w:rPr>
        <w:t>(מתוך עמודים 644 ו- 646, שם)</w:t>
      </w:r>
    </w:p>
    <w:p w:rsidR="00B53994" w:rsidRDefault="00B53994" w:rsidP="00B53994">
      <w:pPr>
        <w:pStyle w:val="ad"/>
        <w:spacing w:line="360" w:lineRule="auto"/>
        <w:ind w:left="587"/>
        <w:jc w:val="both"/>
        <w:rPr>
          <w:rFonts w:ascii="Arial" w:hAnsi="Arial"/>
          <w:noProof w:val="0"/>
          <w:sz w:val="26"/>
          <w:szCs w:val="26"/>
          <w:rtl/>
        </w:rPr>
      </w:pPr>
    </w:p>
    <w:p w:rsidR="00B53994" w:rsidRDefault="00B53994" w:rsidP="00B53994">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הביטויים "לעניין מס" ו- "לעניין מיסוי" עשויים ליצור את הרושם שהמחוקק </w:t>
      </w:r>
      <w:r w:rsidR="00F163B6">
        <w:rPr>
          <w:rFonts w:ascii="Arial" w:hAnsi="Arial" w:hint="cs"/>
          <w:noProof w:val="0"/>
          <w:sz w:val="26"/>
          <w:szCs w:val="26"/>
          <w:rtl/>
        </w:rPr>
        <w:t xml:space="preserve">אכן </w:t>
      </w:r>
      <w:r>
        <w:rPr>
          <w:rFonts w:ascii="Arial" w:hAnsi="Arial" w:hint="cs"/>
          <w:noProof w:val="0"/>
          <w:sz w:val="26"/>
          <w:szCs w:val="26"/>
          <w:rtl/>
        </w:rPr>
        <w:t>התכוון להנהיג השוואת דינים גורפת, בכל נושא הקשור למיסוי, וזאת מתוך רצון מוצהר "</w:t>
      </w:r>
      <w:r>
        <w:rPr>
          <w:rFonts w:ascii="Arial" w:hAnsi="Arial" w:hint="cs"/>
          <w:noProof w:val="0"/>
          <w:sz w:val="26"/>
          <w:szCs w:val="26"/>
          <w:u w:val="single"/>
          <w:rtl/>
        </w:rPr>
        <w:t>להחזיר</w:t>
      </w:r>
      <w:r>
        <w:rPr>
          <w:rFonts w:ascii="Arial" w:hAnsi="Arial" w:hint="cs"/>
          <w:noProof w:val="0"/>
          <w:sz w:val="26"/>
          <w:szCs w:val="26"/>
          <w:rtl/>
        </w:rPr>
        <w:t xml:space="preserve"> הון אנושי איכותי לישראל". </w:t>
      </w:r>
    </w:p>
    <w:p w:rsidR="00B53994" w:rsidRDefault="00B53994" w:rsidP="00B53994">
      <w:pPr>
        <w:pStyle w:val="ad"/>
        <w:spacing w:line="360" w:lineRule="auto"/>
        <w:ind w:left="587"/>
        <w:jc w:val="both"/>
        <w:rPr>
          <w:rFonts w:ascii="Arial" w:hAnsi="Arial"/>
          <w:noProof w:val="0"/>
          <w:sz w:val="26"/>
          <w:szCs w:val="26"/>
          <w:rtl/>
        </w:rPr>
      </w:pPr>
    </w:p>
    <w:p w:rsidR="00B53994" w:rsidRDefault="00B53994" w:rsidP="00B53994">
      <w:pPr>
        <w:pStyle w:val="ad"/>
        <w:spacing w:line="360" w:lineRule="auto"/>
        <w:ind w:left="587"/>
        <w:jc w:val="both"/>
        <w:rPr>
          <w:rFonts w:ascii="Arial" w:hAnsi="Arial"/>
          <w:noProof w:val="0"/>
          <w:sz w:val="26"/>
          <w:szCs w:val="26"/>
          <w:rtl/>
        </w:rPr>
      </w:pPr>
      <w:r>
        <w:rPr>
          <w:rFonts w:ascii="Arial" w:hAnsi="Arial" w:hint="cs"/>
          <w:noProof w:val="0"/>
          <w:sz w:val="26"/>
          <w:szCs w:val="26"/>
          <w:rtl/>
        </w:rPr>
        <w:t>לנוכח הדברים האמורים, אין לומר כי ה</w:t>
      </w:r>
      <w:r w:rsidR="00F163B6">
        <w:rPr>
          <w:rFonts w:ascii="Arial" w:hAnsi="Arial" w:hint="cs"/>
          <w:noProof w:val="0"/>
          <w:sz w:val="26"/>
          <w:szCs w:val="26"/>
          <w:rtl/>
        </w:rPr>
        <w:t>תזה הכללית המועלית על ידי העוררים</w:t>
      </w:r>
      <w:r>
        <w:rPr>
          <w:rFonts w:ascii="Arial" w:hAnsi="Arial" w:hint="cs"/>
          <w:noProof w:val="0"/>
          <w:sz w:val="26"/>
          <w:szCs w:val="26"/>
          <w:rtl/>
        </w:rPr>
        <w:t xml:space="preserve"> כאן היא מופרכת. </w:t>
      </w:r>
    </w:p>
    <w:p w:rsidR="00B53994" w:rsidRDefault="00B53994" w:rsidP="00B53994">
      <w:pPr>
        <w:pStyle w:val="ad"/>
        <w:spacing w:line="360" w:lineRule="auto"/>
        <w:ind w:left="587"/>
        <w:jc w:val="both"/>
        <w:rPr>
          <w:rFonts w:ascii="Arial" w:hAnsi="Arial"/>
          <w:noProof w:val="0"/>
          <w:sz w:val="26"/>
          <w:szCs w:val="26"/>
          <w:rtl/>
        </w:rPr>
      </w:pPr>
    </w:p>
    <w:p w:rsidR="00B53994" w:rsidRPr="00B53994" w:rsidRDefault="00B53994" w:rsidP="00B53994">
      <w:pPr>
        <w:pStyle w:val="ad"/>
        <w:spacing w:line="360" w:lineRule="auto"/>
        <w:ind w:left="587"/>
        <w:jc w:val="both"/>
        <w:rPr>
          <w:rFonts w:ascii="Arial" w:hAnsi="Arial"/>
          <w:noProof w:val="0"/>
          <w:sz w:val="26"/>
          <w:szCs w:val="26"/>
        </w:rPr>
      </w:pPr>
      <w:r>
        <w:rPr>
          <w:rFonts w:ascii="Arial" w:hAnsi="Arial" w:hint="cs"/>
          <w:noProof w:val="0"/>
          <w:sz w:val="26"/>
          <w:szCs w:val="26"/>
          <w:rtl/>
        </w:rPr>
        <w:t xml:space="preserve">ולמרות זאת, לדעתי יש לדחות את הערר, וזאת מן הנימוקים אשר יפורטו מיד. </w:t>
      </w:r>
    </w:p>
    <w:p w:rsidR="002C7951" w:rsidRDefault="002C7951" w:rsidP="0005783D">
      <w:pPr>
        <w:pStyle w:val="ad"/>
        <w:spacing w:line="360" w:lineRule="auto"/>
        <w:ind w:left="587"/>
        <w:jc w:val="both"/>
        <w:rPr>
          <w:rFonts w:ascii="Arial" w:hAnsi="Arial"/>
          <w:noProof w:val="0"/>
          <w:sz w:val="26"/>
          <w:szCs w:val="26"/>
          <w:rtl/>
        </w:rPr>
      </w:pPr>
    </w:p>
    <w:p w:rsidR="0005783D" w:rsidRDefault="00B53994" w:rsidP="00B53994">
      <w:pPr>
        <w:pStyle w:val="ad"/>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הנ</w:t>
      </w:r>
      <w:r w:rsidR="00F163B6">
        <w:rPr>
          <w:rFonts w:ascii="Arial" w:hAnsi="Arial" w:hint="cs"/>
          <w:b/>
          <w:bCs/>
          <w:noProof w:val="0"/>
          <w:sz w:val="32"/>
          <w:szCs w:val="32"/>
          <w:u w:val="single"/>
          <w:rtl/>
        </w:rPr>
        <w:t>ימוקים השונים לדחיית עמדת העוררים</w:t>
      </w:r>
    </w:p>
    <w:p w:rsidR="00B53994" w:rsidRPr="004A51EA" w:rsidRDefault="00B53994" w:rsidP="00B53994">
      <w:pPr>
        <w:pStyle w:val="ad"/>
        <w:spacing w:line="360" w:lineRule="auto"/>
        <w:jc w:val="both"/>
        <w:rPr>
          <w:rFonts w:ascii="Arial" w:hAnsi="Arial"/>
          <w:b/>
          <w:bCs/>
          <w:noProof w:val="0"/>
          <w:sz w:val="32"/>
          <w:szCs w:val="32"/>
          <w:u w:val="single"/>
          <w:rtl/>
        </w:rPr>
      </w:pPr>
    </w:p>
    <w:p w:rsidR="00B53994" w:rsidRPr="002F1414" w:rsidRDefault="00B53994" w:rsidP="00B53994">
      <w:pPr>
        <w:pStyle w:val="ad"/>
        <w:spacing w:line="360" w:lineRule="auto"/>
        <w:jc w:val="both"/>
        <w:rPr>
          <w:rFonts w:ascii="Arial" w:hAnsi="Arial"/>
          <w:b/>
          <w:bCs/>
          <w:noProof w:val="0"/>
          <w:sz w:val="26"/>
          <w:szCs w:val="26"/>
          <w:u w:val="single"/>
          <w:rtl/>
        </w:rPr>
      </w:pPr>
      <w:r w:rsidRPr="002F1414">
        <w:rPr>
          <w:rFonts w:ascii="Arial" w:hAnsi="Arial" w:hint="cs"/>
          <w:b/>
          <w:bCs/>
          <w:noProof w:val="0"/>
          <w:sz w:val="26"/>
          <w:szCs w:val="26"/>
          <w:u w:val="single"/>
          <w:rtl/>
        </w:rPr>
        <w:t>לשון תקנה 12</w:t>
      </w:r>
    </w:p>
    <w:p w:rsidR="0005783D" w:rsidRDefault="00C93787" w:rsidP="005758C1">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כמוסבר, תקנה 12 ח</w:t>
      </w:r>
      <w:r w:rsidR="0005783D">
        <w:rPr>
          <w:rFonts w:ascii="Arial" w:hAnsi="Arial" w:hint="cs"/>
          <w:noProof w:val="0"/>
          <w:sz w:val="26"/>
          <w:szCs w:val="26"/>
          <w:rtl/>
        </w:rPr>
        <w:t>ל</w:t>
      </w:r>
      <w:r>
        <w:rPr>
          <w:rFonts w:ascii="Arial" w:hAnsi="Arial" w:hint="cs"/>
          <w:noProof w:val="0"/>
          <w:sz w:val="26"/>
          <w:szCs w:val="26"/>
          <w:rtl/>
        </w:rPr>
        <w:t>ה ע</w:t>
      </w:r>
      <w:r w:rsidR="0005783D">
        <w:rPr>
          <w:rFonts w:ascii="Arial" w:hAnsi="Arial" w:hint="cs"/>
          <w:noProof w:val="0"/>
          <w:sz w:val="26"/>
          <w:szCs w:val="26"/>
          <w:rtl/>
        </w:rPr>
        <w:t>ל</w:t>
      </w:r>
      <w:r>
        <w:rPr>
          <w:rFonts w:ascii="Arial" w:hAnsi="Arial" w:hint="cs"/>
          <w:noProof w:val="0"/>
          <w:sz w:val="26"/>
          <w:szCs w:val="26"/>
          <w:rtl/>
        </w:rPr>
        <w:t xml:space="preserve"> "עו</w:t>
      </w:r>
      <w:r w:rsidR="0005783D">
        <w:rPr>
          <w:rFonts w:ascii="Arial" w:hAnsi="Arial" w:hint="cs"/>
          <w:noProof w:val="0"/>
          <w:sz w:val="26"/>
          <w:szCs w:val="26"/>
          <w:rtl/>
        </w:rPr>
        <w:t>ל</w:t>
      </w:r>
      <w:r>
        <w:rPr>
          <w:rFonts w:ascii="Arial" w:hAnsi="Arial" w:hint="cs"/>
          <w:noProof w:val="0"/>
          <w:sz w:val="26"/>
          <w:szCs w:val="26"/>
          <w:rtl/>
        </w:rPr>
        <w:t xml:space="preserve">ה". המונח מופיע בתקנה </w:t>
      </w:r>
      <w:r w:rsidR="0005783D">
        <w:rPr>
          <w:rFonts w:ascii="Arial" w:hAnsi="Arial" w:hint="cs"/>
          <w:noProof w:val="0"/>
          <w:sz w:val="26"/>
          <w:szCs w:val="26"/>
          <w:rtl/>
        </w:rPr>
        <w:t>ל</w:t>
      </w:r>
      <w:r>
        <w:rPr>
          <w:rFonts w:ascii="Arial" w:hAnsi="Arial" w:hint="cs"/>
          <w:noProof w:val="0"/>
          <w:sz w:val="26"/>
          <w:szCs w:val="26"/>
          <w:rtl/>
        </w:rPr>
        <w:t>א כמי</w:t>
      </w:r>
      <w:r w:rsidR="0005783D">
        <w:rPr>
          <w:rFonts w:ascii="Arial" w:hAnsi="Arial" w:hint="cs"/>
          <w:noProof w:val="0"/>
          <w:sz w:val="26"/>
          <w:szCs w:val="26"/>
          <w:rtl/>
        </w:rPr>
        <w:t>ל</w:t>
      </w:r>
      <w:r>
        <w:rPr>
          <w:rFonts w:ascii="Arial" w:hAnsi="Arial" w:hint="cs"/>
          <w:noProof w:val="0"/>
          <w:sz w:val="26"/>
          <w:szCs w:val="26"/>
          <w:rtl/>
        </w:rPr>
        <w:t xml:space="preserve">ה </w:t>
      </w:r>
      <w:r w:rsidR="005758C1">
        <w:rPr>
          <w:rFonts w:ascii="Arial" w:hAnsi="Arial" w:hint="cs"/>
          <w:noProof w:val="0"/>
          <w:sz w:val="26"/>
          <w:szCs w:val="26"/>
          <w:rtl/>
        </w:rPr>
        <w:t xml:space="preserve">כללית </w:t>
      </w:r>
      <w:r w:rsidR="00CA656A">
        <w:rPr>
          <w:rFonts w:ascii="Arial" w:hAnsi="Arial" w:hint="cs"/>
          <w:noProof w:val="0"/>
          <w:sz w:val="26"/>
          <w:szCs w:val="26"/>
          <w:rtl/>
        </w:rPr>
        <w:t>ו</w:t>
      </w:r>
      <w:r>
        <w:rPr>
          <w:rFonts w:ascii="Arial" w:hAnsi="Arial" w:hint="cs"/>
          <w:noProof w:val="0"/>
          <w:sz w:val="26"/>
          <w:szCs w:val="26"/>
          <w:rtl/>
        </w:rPr>
        <w:t xml:space="preserve">גמישה שהוראתה עשויה </w:t>
      </w:r>
      <w:r w:rsidR="0005783D">
        <w:rPr>
          <w:rFonts w:ascii="Arial" w:hAnsi="Arial" w:hint="cs"/>
          <w:noProof w:val="0"/>
          <w:sz w:val="26"/>
          <w:szCs w:val="26"/>
          <w:rtl/>
        </w:rPr>
        <w:t>ל</w:t>
      </w:r>
      <w:r>
        <w:rPr>
          <w:rFonts w:ascii="Arial" w:hAnsi="Arial" w:hint="cs"/>
          <w:noProof w:val="0"/>
          <w:sz w:val="26"/>
          <w:szCs w:val="26"/>
          <w:rtl/>
        </w:rPr>
        <w:t xml:space="preserve">השתנות </w:t>
      </w:r>
      <w:r w:rsidR="0005783D">
        <w:rPr>
          <w:rFonts w:ascii="Arial" w:hAnsi="Arial" w:hint="cs"/>
          <w:noProof w:val="0"/>
          <w:sz w:val="26"/>
          <w:szCs w:val="26"/>
          <w:rtl/>
        </w:rPr>
        <w:t>ל</w:t>
      </w:r>
      <w:r>
        <w:rPr>
          <w:rFonts w:ascii="Arial" w:hAnsi="Arial" w:hint="cs"/>
          <w:noProof w:val="0"/>
          <w:sz w:val="26"/>
          <w:szCs w:val="26"/>
          <w:rtl/>
        </w:rPr>
        <w:t>פי ההקשר או ע</w:t>
      </w:r>
      <w:r w:rsidR="0005783D">
        <w:rPr>
          <w:rFonts w:ascii="Arial" w:hAnsi="Arial" w:hint="cs"/>
          <w:noProof w:val="0"/>
          <w:sz w:val="26"/>
          <w:szCs w:val="26"/>
          <w:rtl/>
        </w:rPr>
        <w:t>ל</w:t>
      </w:r>
      <w:r>
        <w:rPr>
          <w:rFonts w:ascii="Arial" w:hAnsi="Arial" w:hint="cs"/>
          <w:noProof w:val="0"/>
          <w:sz w:val="26"/>
          <w:szCs w:val="26"/>
          <w:rtl/>
        </w:rPr>
        <w:t xml:space="preserve"> פני הזמן, א</w:t>
      </w:r>
      <w:r w:rsidR="0005783D">
        <w:rPr>
          <w:rFonts w:ascii="Arial" w:hAnsi="Arial" w:hint="cs"/>
          <w:noProof w:val="0"/>
          <w:sz w:val="26"/>
          <w:szCs w:val="26"/>
          <w:rtl/>
        </w:rPr>
        <w:t>ל</w:t>
      </w:r>
      <w:r w:rsidR="005758C1">
        <w:rPr>
          <w:rFonts w:ascii="Arial" w:hAnsi="Arial" w:hint="cs"/>
          <w:noProof w:val="0"/>
          <w:sz w:val="26"/>
          <w:szCs w:val="26"/>
          <w:rtl/>
        </w:rPr>
        <w:t>א כמושג משפטי ה</w:t>
      </w:r>
      <w:r>
        <w:rPr>
          <w:rFonts w:ascii="Arial" w:hAnsi="Arial" w:hint="cs"/>
          <w:noProof w:val="0"/>
          <w:sz w:val="26"/>
          <w:szCs w:val="26"/>
          <w:rtl/>
        </w:rPr>
        <w:t>מוגדר הי</w:t>
      </w:r>
      <w:r w:rsidR="005758C1">
        <w:rPr>
          <w:rFonts w:ascii="Arial" w:hAnsi="Arial" w:hint="cs"/>
          <w:noProof w:val="0"/>
          <w:sz w:val="26"/>
          <w:szCs w:val="26"/>
          <w:rtl/>
        </w:rPr>
        <w:t xml:space="preserve">טב ובאופן </w:t>
      </w:r>
      <w:r w:rsidR="001C4E93">
        <w:rPr>
          <w:rFonts w:ascii="Arial" w:hAnsi="Arial" w:hint="cs"/>
          <w:noProof w:val="0"/>
          <w:sz w:val="26"/>
          <w:szCs w:val="26"/>
          <w:rtl/>
        </w:rPr>
        <w:t>מפורט.</w:t>
      </w:r>
      <w:r w:rsidR="001C4E93">
        <w:rPr>
          <w:rStyle w:val="af0"/>
          <w:rFonts w:ascii="Arial" w:hAnsi="Arial"/>
          <w:noProof w:val="0"/>
          <w:sz w:val="26"/>
          <w:szCs w:val="26"/>
          <w:rtl/>
        </w:rPr>
        <w:footnoteReference w:id="5"/>
      </w:r>
    </w:p>
    <w:p w:rsidR="00C93787" w:rsidRDefault="00C93787" w:rsidP="00C93787">
      <w:pPr>
        <w:pStyle w:val="ad"/>
        <w:spacing w:line="360" w:lineRule="auto"/>
        <w:ind w:left="587"/>
        <w:jc w:val="both"/>
        <w:rPr>
          <w:rFonts w:ascii="Arial" w:hAnsi="Arial"/>
          <w:noProof w:val="0"/>
          <w:sz w:val="26"/>
          <w:szCs w:val="26"/>
          <w:rtl/>
        </w:rPr>
      </w:pPr>
    </w:p>
    <w:p w:rsidR="00C93787" w:rsidRDefault="00C93787" w:rsidP="00C93787">
      <w:pPr>
        <w:pStyle w:val="ad"/>
        <w:spacing w:line="360" w:lineRule="auto"/>
        <w:ind w:left="587"/>
        <w:jc w:val="both"/>
        <w:rPr>
          <w:rFonts w:ascii="Arial" w:hAnsi="Arial"/>
          <w:noProof w:val="0"/>
          <w:sz w:val="26"/>
          <w:szCs w:val="26"/>
          <w:rtl/>
        </w:rPr>
      </w:pPr>
      <w:r>
        <w:rPr>
          <w:rFonts w:ascii="Arial" w:hAnsi="Arial" w:hint="cs"/>
          <w:noProof w:val="0"/>
          <w:sz w:val="26"/>
          <w:szCs w:val="26"/>
          <w:rtl/>
        </w:rPr>
        <w:t>העוררת דנן לא יכלה להיחשב "עולה</w:t>
      </w:r>
      <w:r w:rsidR="008A0781">
        <w:rPr>
          <w:rFonts w:ascii="Arial" w:hAnsi="Arial" w:hint="cs"/>
          <w:noProof w:val="0"/>
          <w:sz w:val="26"/>
          <w:szCs w:val="26"/>
          <w:rtl/>
        </w:rPr>
        <w:t>"</w:t>
      </w:r>
      <w:r>
        <w:rPr>
          <w:rFonts w:ascii="Arial" w:hAnsi="Arial" w:hint="cs"/>
          <w:noProof w:val="0"/>
          <w:sz w:val="26"/>
          <w:szCs w:val="26"/>
          <w:rtl/>
        </w:rPr>
        <w:t xml:space="preserve"> לפי הגדרה זו. </w:t>
      </w:r>
    </w:p>
    <w:p w:rsidR="00C93787" w:rsidRDefault="00C93787" w:rsidP="00C93787">
      <w:pPr>
        <w:pStyle w:val="ad"/>
        <w:spacing w:line="360" w:lineRule="auto"/>
        <w:ind w:left="587"/>
        <w:jc w:val="both"/>
        <w:rPr>
          <w:rFonts w:ascii="Arial" w:hAnsi="Arial"/>
          <w:noProof w:val="0"/>
          <w:sz w:val="26"/>
          <w:szCs w:val="26"/>
        </w:rPr>
      </w:pPr>
    </w:p>
    <w:p w:rsidR="0005783D" w:rsidRDefault="00C93787" w:rsidP="003C4456">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ודוק: תקנה 12 אף איננה ח</w:t>
      </w:r>
      <w:r w:rsidR="0005783D">
        <w:rPr>
          <w:rFonts w:ascii="Arial" w:hAnsi="Arial" w:hint="cs"/>
          <w:noProof w:val="0"/>
          <w:sz w:val="26"/>
          <w:szCs w:val="26"/>
          <w:rtl/>
        </w:rPr>
        <w:t>ל</w:t>
      </w:r>
      <w:r>
        <w:rPr>
          <w:rFonts w:ascii="Arial" w:hAnsi="Arial" w:hint="cs"/>
          <w:noProof w:val="0"/>
          <w:sz w:val="26"/>
          <w:szCs w:val="26"/>
          <w:rtl/>
        </w:rPr>
        <w:t xml:space="preserve">ה </w:t>
      </w:r>
      <w:r w:rsidR="003C4456">
        <w:rPr>
          <w:rFonts w:ascii="Arial" w:hAnsi="Arial" w:hint="cs"/>
          <w:noProof w:val="0"/>
          <w:sz w:val="26"/>
          <w:szCs w:val="26"/>
          <w:rtl/>
        </w:rPr>
        <w:t>ע</w:t>
      </w:r>
      <w:r w:rsidR="0005783D">
        <w:rPr>
          <w:rFonts w:ascii="Arial" w:hAnsi="Arial" w:hint="cs"/>
          <w:noProof w:val="0"/>
          <w:sz w:val="26"/>
          <w:szCs w:val="26"/>
          <w:rtl/>
        </w:rPr>
        <w:t>ל</w:t>
      </w:r>
      <w:r w:rsidR="003C4456">
        <w:rPr>
          <w:rFonts w:ascii="Arial" w:hAnsi="Arial" w:hint="cs"/>
          <w:noProof w:val="0"/>
          <w:sz w:val="26"/>
          <w:szCs w:val="26"/>
          <w:rtl/>
        </w:rPr>
        <w:t xml:space="preserve"> כ</w:t>
      </w:r>
      <w:r w:rsidR="0005783D">
        <w:rPr>
          <w:rFonts w:ascii="Arial" w:hAnsi="Arial" w:hint="cs"/>
          <w:noProof w:val="0"/>
          <w:sz w:val="26"/>
          <w:szCs w:val="26"/>
          <w:rtl/>
        </w:rPr>
        <w:t>ל</w:t>
      </w:r>
      <w:r w:rsidR="003C4456">
        <w:rPr>
          <w:rFonts w:ascii="Arial" w:hAnsi="Arial" w:hint="cs"/>
          <w:noProof w:val="0"/>
          <w:sz w:val="26"/>
          <w:szCs w:val="26"/>
          <w:rtl/>
        </w:rPr>
        <w:t xml:space="preserve"> "תושב ישרא</w:t>
      </w:r>
      <w:r w:rsidR="0005783D">
        <w:rPr>
          <w:rFonts w:ascii="Arial" w:hAnsi="Arial" w:hint="cs"/>
          <w:noProof w:val="0"/>
          <w:sz w:val="26"/>
          <w:szCs w:val="26"/>
          <w:rtl/>
        </w:rPr>
        <w:t>ל</w:t>
      </w:r>
      <w:r w:rsidR="003C4456">
        <w:rPr>
          <w:rFonts w:ascii="Arial" w:hAnsi="Arial" w:hint="cs"/>
          <w:noProof w:val="0"/>
          <w:sz w:val="26"/>
          <w:szCs w:val="26"/>
          <w:rtl/>
        </w:rPr>
        <w:t xml:space="preserve"> </w:t>
      </w:r>
      <w:r w:rsidR="0005783D">
        <w:rPr>
          <w:rFonts w:ascii="Arial" w:hAnsi="Arial" w:hint="cs"/>
          <w:noProof w:val="0"/>
          <w:sz w:val="26"/>
          <w:szCs w:val="26"/>
          <w:rtl/>
        </w:rPr>
        <w:t>ל</w:t>
      </w:r>
      <w:r w:rsidR="003C4456">
        <w:rPr>
          <w:rFonts w:ascii="Arial" w:hAnsi="Arial" w:hint="cs"/>
          <w:noProof w:val="0"/>
          <w:sz w:val="26"/>
          <w:szCs w:val="26"/>
          <w:rtl/>
        </w:rPr>
        <w:t>ראשונה". ביטוי אחרון זה, המופיע בסעיף 14 לפקודה (ובמקומות נוספים בחקיקת המס)</w:t>
      </w:r>
      <w:r w:rsidR="00E829A0">
        <w:rPr>
          <w:rFonts w:ascii="Arial" w:hAnsi="Arial" w:hint="cs"/>
          <w:noProof w:val="0"/>
          <w:sz w:val="26"/>
          <w:szCs w:val="26"/>
          <w:rtl/>
        </w:rPr>
        <w:t>,</w:t>
      </w:r>
      <w:r w:rsidR="003C4456">
        <w:rPr>
          <w:rFonts w:ascii="Arial" w:hAnsi="Arial" w:hint="cs"/>
          <w:noProof w:val="0"/>
          <w:sz w:val="26"/>
          <w:szCs w:val="26"/>
          <w:rtl/>
        </w:rPr>
        <w:t xml:space="preserve"> הוא </w:t>
      </w:r>
      <w:r w:rsidR="003C4456" w:rsidRPr="00E829A0">
        <w:rPr>
          <w:rFonts w:ascii="Arial" w:hAnsi="Arial" w:hint="cs"/>
          <w:b/>
          <w:bCs/>
          <w:noProof w:val="0"/>
          <w:sz w:val="26"/>
          <w:szCs w:val="26"/>
          <w:rtl/>
        </w:rPr>
        <w:t>רחב</w:t>
      </w:r>
      <w:r w:rsidR="003C4456">
        <w:rPr>
          <w:rFonts w:ascii="Arial" w:hAnsi="Arial" w:hint="cs"/>
          <w:noProof w:val="0"/>
          <w:sz w:val="26"/>
          <w:szCs w:val="26"/>
          <w:rtl/>
        </w:rPr>
        <w:t xml:space="preserve"> יותר מהמונח עולה כמוגדר בתקנה 12 הנדונה. </w:t>
      </w:r>
    </w:p>
    <w:p w:rsidR="003C4456" w:rsidRPr="003C4456" w:rsidRDefault="003C4456" w:rsidP="003C4456">
      <w:pPr>
        <w:pStyle w:val="ad"/>
        <w:rPr>
          <w:rFonts w:ascii="Arial" w:hAnsi="Arial"/>
          <w:noProof w:val="0"/>
          <w:sz w:val="26"/>
          <w:szCs w:val="26"/>
          <w:rtl/>
        </w:rPr>
      </w:pPr>
    </w:p>
    <w:p w:rsidR="003C4456" w:rsidRDefault="003C4456" w:rsidP="003C4456">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לדוגמה, המונח "תושב ישראל לראשונה" יכול לחול גם על אדם שאיננו זכאי לעלות לישראל </w:t>
      </w:r>
      <w:r>
        <w:rPr>
          <w:rFonts w:ascii="Arial" w:hAnsi="Arial" w:hint="cs"/>
          <w:b/>
          <w:bCs/>
          <w:noProof w:val="0"/>
          <w:sz w:val="26"/>
          <w:szCs w:val="26"/>
          <w:rtl/>
        </w:rPr>
        <w:t>מכוח חוק השבות</w:t>
      </w:r>
      <w:r>
        <w:rPr>
          <w:rFonts w:ascii="Arial" w:hAnsi="Arial" w:hint="cs"/>
          <w:noProof w:val="0"/>
          <w:sz w:val="26"/>
          <w:szCs w:val="26"/>
          <w:rtl/>
        </w:rPr>
        <w:t>, למשל מפני שאי</w:t>
      </w:r>
      <w:r w:rsidR="00D94E54">
        <w:rPr>
          <w:rFonts w:ascii="Arial" w:hAnsi="Arial" w:hint="cs"/>
          <w:noProof w:val="0"/>
          <w:sz w:val="26"/>
          <w:szCs w:val="26"/>
          <w:rtl/>
        </w:rPr>
        <w:t>ן</w:t>
      </w:r>
      <w:r>
        <w:rPr>
          <w:rFonts w:ascii="Arial" w:hAnsi="Arial" w:hint="cs"/>
          <w:noProof w:val="0"/>
          <w:sz w:val="26"/>
          <w:szCs w:val="26"/>
          <w:rtl/>
        </w:rPr>
        <w:t xml:space="preserve"> הוא יהודי. </w:t>
      </w:r>
    </w:p>
    <w:p w:rsidR="003C4456" w:rsidRDefault="003C4456" w:rsidP="003C4456">
      <w:pPr>
        <w:pStyle w:val="ad"/>
        <w:spacing w:line="360" w:lineRule="auto"/>
        <w:ind w:left="587"/>
        <w:jc w:val="both"/>
        <w:rPr>
          <w:rFonts w:ascii="Arial" w:hAnsi="Arial"/>
          <w:noProof w:val="0"/>
          <w:sz w:val="26"/>
          <w:szCs w:val="26"/>
          <w:rtl/>
        </w:rPr>
      </w:pPr>
    </w:p>
    <w:p w:rsidR="003C4456" w:rsidRDefault="003C4456" w:rsidP="003C4456">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לפיכך אף אם בהקשרו של סעיף 14 לפקודה נקבע כי דינו של תושב חוזר ותיק כדינו של תושב ישראל לראשונה, אין משמעות הדבר כי תושב חוזר ותיק נתפס כ"עולה" דווקא, קבוצה שהיא </w:t>
      </w:r>
      <w:r w:rsidRPr="00E829A0">
        <w:rPr>
          <w:rFonts w:ascii="Arial" w:hAnsi="Arial" w:hint="cs"/>
          <w:b/>
          <w:bCs/>
          <w:noProof w:val="0"/>
          <w:sz w:val="26"/>
          <w:szCs w:val="26"/>
          <w:rtl/>
        </w:rPr>
        <w:t>צרה</w:t>
      </w:r>
      <w:r>
        <w:rPr>
          <w:rFonts w:ascii="Arial" w:hAnsi="Arial" w:hint="cs"/>
          <w:noProof w:val="0"/>
          <w:sz w:val="26"/>
          <w:szCs w:val="26"/>
          <w:rtl/>
        </w:rPr>
        <w:t xml:space="preserve"> יותר כאמור. </w:t>
      </w:r>
    </w:p>
    <w:p w:rsidR="003C4456" w:rsidRDefault="003C4456" w:rsidP="003C4456">
      <w:pPr>
        <w:pStyle w:val="ad"/>
        <w:spacing w:line="360" w:lineRule="auto"/>
        <w:ind w:left="587"/>
        <w:jc w:val="both"/>
        <w:rPr>
          <w:rFonts w:ascii="Arial" w:hAnsi="Arial"/>
          <w:noProof w:val="0"/>
          <w:sz w:val="26"/>
          <w:szCs w:val="26"/>
          <w:rtl/>
        </w:rPr>
      </w:pPr>
    </w:p>
    <w:p w:rsidR="003C4456" w:rsidRPr="003C4456" w:rsidRDefault="003C4456" w:rsidP="003C4456">
      <w:pPr>
        <w:pStyle w:val="ad"/>
        <w:spacing w:line="360" w:lineRule="auto"/>
        <w:ind w:left="587"/>
        <w:jc w:val="both"/>
        <w:rPr>
          <w:rFonts w:ascii="Arial" w:hAnsi="Arial"/>
          <w:b/>
          <w:bCs/>
          <w:noProof w:val="0"/>
          <w:sz w:val="26"/>
          <w:szCs w:val="26"/>
          <w:u w:val="single"/>
        </w:rPr>
      </w:pPr>
      <w:r>
        <w:rPr>
          <w:rFonts w:ascii="Arial" w:hAnsi="Arial" w:hint="cs"/>
          <w:b/>
          <w:bCs/>
          <w:noProof w:val="0"/>
          <w:sz w:val="26"/>
          <w:szCs w:val="26"/>
          <w:u w:val="single"/>
          <w:rtl/>
        </w:rPr>
        <w:t xml:space="preserve">גבולות </w:t>
      </w:r>
      <w:r w:rsidR="007B6D61">
        <w:rPr>
          <w:rFonts w:ascii="Arial" w:hAnsi="Arial" w:hint="cs"/>
          <w:b/>
          <w:bCs/>
          <w:noProof w:val="0"/>
          <w:sz w:val="26"/>
          <w:szCs w:val="26"/>
          <w:u w:val="single"/>
          <w:rtl/>
        </w:rPr>
        <w:t>הנפקות</w:t>
      </w:r>
      <w:r w:rsidR="00E829A0">
        <w:rPr>
          <w:rFonts w:ascii="Arial" w:hAnsi="Arial" w:hint="cs"/>
          <w:b/>
          <w:bCs/>
          <w:noProof w:val="0"/>
          <w:sz w:val="26"/>
          <w:szCs w:val="26"/>
          <w:u w:val="single"/>
          <w:rtl/>
        </w:rPr>
        <w:t xml:space="preserve"> של תיקון מס' 168 לפקודה</w:t>
      </w:r>
    </w:p>
    <w:p w:rsidR="00D94E54" w:rsidRDefault="003C4456" w:rsidP="009B6E99">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אמנם תיקון מס' 168 לפקודה נועד להשוות את ההקלות הני</w:t>
      </w:r>
      <w:r w:rsidR="00D94E54">
        <w:rPr>
          <w:rFonts w:ascii="Arial" w:hAnsi="Arial" w:hint="cs"/>
          <w:noProof w:val="0"/>
          <w:sz w:val="26"/>
          <w:szCs w:val="26"/>
          <w:rtl/>
        </w:rPr>
        <w:t>תנות לתושב חוזר ותיק לאלו הניתנ</w:t>
      </w:r>
      <w:r>
        <w:rPr>
          <w:rFonts w:ascii="Arial" w:hAnsi="Arial" w:hint="cs"/>
          <w:noProof w:val="0"/>
          <w:sz w:val="26"/>
          <w:szCs w:val="26"/>
          <w:rtl/>
        </w:rPr>
        <w:t xml:space="preserve">ות </w:t>
      </w:r>
      <w:r w:rsidR="00E829A0">
        <w:rPr>
          <w:rFonts w:ascii="Arial" w:hAnsi="Arial" w:hint="cs"/>
          <w:noProof w:val="0"/>
          <w:sz w:val="26"/>
          <w:szCs w:val="26"/>
          <w:rtl/>
        </w:rPr>
        <w:t>לתושב לראשונה</w:t>
      </w:r>
      <w:r>
        <w:rPr>
          <w:rFonts w:ascii="Arial" w:hAnsi="Arial" w:hint="cs"/>
          <w:noProof w:val="0"/>
          <w:sz w:val="26"/>
          <w:szCs w:val="26"/>
          <w:rtl/>
        </w:rPr>
        <w:t xml:space="preserve">, אולם הדבר נעשה בהקשרים </w:t>
      </w:r>
      <w:r w:rsidR="00B25BB9">
        <w:rPr>
          <w:rFonts w:ascii="Arial" w:hAnsi="Arial" w:hint="cs"/>
          <w:b/>
          <w:bCs/>
          <w:noProof w:val="0"/>
          <w:sz w:val="26"/>
          <w:szCs w:val="26"/>
          <w:rtl/>
        </w:rPr>
        <w:t>מסו</w:t>
      </w:r>
      <w:r>
        <w:rPr>
          <w:rFonts w:ascii="Arial" w:hAnsi="Arial" w:hint="cs"/>
          <w:b/>
          <w:bCs/>
          <w:noProof w:val="0"/>
          <w:sz w:val="26"/>
          <w:szCs w:val="26"/>
          <w:rtl/>
        </w:rPr>
        <w:t>ימים</w:t>
      </w:r>
      <w:r>
        <w:rPr>
          <w:rFonts w:ascii="Arial" w:hAnsi="Arial" w:hint="cs"/>
          <w:noProof w:val="0"/>
          <w:sz w:val="26"/>
          <w:szCs w:val="26"/>
          <w:rtl/>
        </w:rPr>
        <w:t xml:space="preserve"> הנדונים בפקודה, לרבות </w:t>
      </w:r>
      <w:r w:rsidR="00D94E54">
        <w:rPr>
          <w:rFonts w:ascii="Arial" w:hAnsi="Arial" w:hint="cs"/>
          <w:noProof w:val="0"/>
          <w:sz w:val="26"/>
          <w:szCs w:val="26"/>
          <w:rtl/>
        </w:rPr>
        <w:t>ס</w:t>
      </w:r>
      <w:r>
        <w:rPr>
          <w:rFonts w:ascii="Arial" w:hAnsi="Arial" w:hint="cs"/>
          <w:noProof w:val="0"/>
          <w:sz w:val="26"/>
          <w:szCs w:val="26"/>
          <w:rtl/>
        </w:rPr>
        <w:t>עיף 14 (בעניין פטורים ממס)</w:t>
      </w:r>
      <w:r w:rsidR="009520C1">
        <w:rPr>
          <w:rFonts w:ascii="Arial" w:hAnsi="Arial" w:hint="cs"/>
          <w:noProof w:val="0"/>
          <w:sz w:val="26"/>
          <w:szCs w:val="26"/>
          <w:rtl/>
        </w:rPr>
        <w:t>, סעיף 97(ב) (בעניין רווחי הון), וסעיפים</w:t>
      </w:r>
      <w:r>
        <w:rPr>
          <w:rFonts w:ascii="Arial" w:hAnsi="Arial" w:hint="cs"/>
          <w:noProof w:val="0"/>
          <w:sz w:val="26"/>
          <w:szCs w:val="26"/>
          <w:rtl/>
        </w:rPr>
        <w:t xml:space="preserve"> 134ב החדש</w:t>
      </w:r>
      <w:r w:rsidR="009520C1">
        <w:rPr>
          <w:rFonts w:ascii="Arial" w:hAnsi="Arial" w:hint="cs"/>
          <w:noProof w:val="0"/>
          <w:sz w:val="26"/>
          <w:szCs w:val="26"/>
          <w:rtl/>
        </w:rPr>
        <w:t xml:space="preserve"> ו- 135(1)(ב)</w:t>
      </w:r>
      <w:r>
        <w:rPr>
          <w:rFonts w:ascii="Arial" w:hAnsi="Arial" w:hint="cs"/>
          <w:noProof w:val="0"/>
          <w:sz w:val="26"/>
          <w:szCs w:val="26"/>
          <w:rtl/>
        </w:rPr>
        <w:t xml:space="preserve"> (</w:t>
      </w:r>
      <w:r w:rsidR="009520C1">
        <w:rPr>
          <w:rFonts w:ascii="Arial" w:hAnsi="Arial" w:hint="cs"/>
          <w:noProof w:val="0"/>
          <w:sz w:val="26"/>
          <w:szCs w:val="26"/>
          <w:rtl/>
        </w:rPr>
        <w:t>ב</w:t>
      </w:r>
      <w:r w:rsidR="00D94E54">
        <w:rPr>
          <w:rFonts w:ascii="Arial" w:hAnsi="Arial" w:hint="cs"/>
          <w:noProof w:val="0"/>
          <w:sz w:val="26"/>
          <w:szCs w:val="26"/>
          <w:rtl/>
        </w:rPr>
        <w:t>עניין פטור מ</w:t>
      </w:r>
      <w:r>
        <w:rPr>
          <w:rFonts w:ascii="Arial" w:hAnsi="Arial" w:hint="cs"/>
          <w:noProof w:val="0"/>
          <w:sz w:val="26"/>
          <w:szCs w:val="26"/>
          <w:rtl/>
        </w:rPr>
        <w:t xml:space="preserve">דיווח). תיקון מס' 168 תיקן אפוא סעיפים </w:t>
      </w:r>
      <w:r w:rsidRPr="003C4456">
        <w:rPr>
          <w:rFonts w:ascii="Arial" w:hAnsi="Arial" w:hint="cs"/>
          <w:b/>
          <w:bCs/>
          <w:noProof w:val="0"/>
          <w:sz w:val="26"/>
          <w:szCs w:val="26"/>
          <w:rtl/>
        </w:rPr>
        <w:t>ספציפיים</w:t>
      </w:r>
      <w:r>
        <w:rPr>
          <w:rFonts w:ascii="Arial" w:hAnsi="Arial" w:hint="cs"/>
          <w:b/>
          <w:bCs/>
          <w:noProof w:val="0"/>
          <w:sz w:val="26"/>
          <w:szCs w:val="26"/>
          <w:rtl/>
        </w:rPr>
        <w:t xml:space="preserve"> </w:t>
      </w:r>
      <w:r w:rsidR="00E829A0">
        <w:rPr>
          <w:rFonts w:ascii="Arial" w:hAnsi="Arial" w:hint="cs"/>
          <w:noProof w:val="0"/>
          <w:sz w:val="26"/>
          <w:szCs w:val="26"/>
          <w:rtl/>
        </w:rPr>
        <w:t>בפקודה, ולמרות שהשינוי ש</w:t>
      </w:r>
      <w:r>
        <w:rPr>
          <w:rFonts w:ascii="Arial" w:hAnsi="Arial" w:hint="cs"/>
          <w:noProof w:val="0"/>
          <w:sz w:val="26"/>
          <w:szCs w:val="26"/>
          <w:rtl/>
        </w:rPr>
        <w:t>חולל התיק</w:t>
      </w:r>
      <w:r w:rsidR="00E829A0">
        <w:rPr>
          <w:rFonts w:ascii="Arial" w:hAnsi="Arial" w:hint="cs"/>
          <w:noProof w:val="0"/>
          <w:sz w:val="26"/>
          <w:szCs w:val="26"/>
          <w:rtl/>
        </w:rPr>
        <w:t>ו</w:t>
      </w:r>
      <w:r>
        <w:rPr>
          <w:rFonts w:ascii="Arial" w:hAnsi="Arial" w:hint="cs"/>
          <w:noProof w:val="0"/>
          <w:sz w:val="26"/>
          <w:szCs w:val="26"/>
          <w:rtl/>
        </w:rPr>
        <w:t xml:space="preserve">ן היה חשוב, הוא לא היה גורף: לא נקבע </w:t>
      </w:r>
      <w:r w:rsidRPr="00E829A0">
        <w:rPr>
          <w:rFonts w:ascii="Arial" w:hAnsi="Arial" w:hint="cs"/>
          <w:b/>
          <w:bCs/>
          <w:noProof w:val="0"/>
          <w:sz w:val="26"/>
          <w:szCs w:val="26"/>
          <w:rtl/>
        </w:rPr>
        <w:t>כלל</w:t>
      </w:r>
      <w:r>
        <w:rPr>
          <w:rFonts w:ascii="Arial" w:hAnsi="Arial" w:hint="cs"/>
          <w:noProof w:val="0"/>
          <w:sz w:val="26"/>
          <w:szCs w:val="26"/>
          <w:rtl/>
        </w:rPr>
        <w:t xml:space="preserve"> לפיו לכל דבר ועניין דינו של תושב חוזר ותיק </w:t>
      </w:r>
      <w:r w:rsidR="00D94E54">
        <w:rPr>
          <w:rFonts w:ascii="Arial" w:hAnsi="Arial" w:hint="cs"/>
          <w:noProof w:val="0"/>
          <w:sz w:val="26"/>
          <w:szCs w:val="26"/>
          <w:rtl/>
        </w:rPr>
        <w:t>כדין תושב ישראל לראשו</w:t>
      </w:r>
      <w:r>
        <w:rPr>
          <w:rFonts w:ascii="Arial" w:hAnsi="Arial" w:hint="cs"/>
          <w:noProof w:val="0"/>
          <w:sz w:val="26"/>
          <w:szCs w:val="26"/>
          <w:rtl/>
        </w:rPr>
        <w:t>נה. כתוצאה מכך נשמרו שני מונחים שונים: "תושב ישראל לראשונה" ו"תושב חוזר ותיק"</w:t>
      </w:r>
      <w:r w:rsidR="009B6E99">
        <w:rPr>
          <w:rFonts w:ascii="Arial" w:hAnsi="Arial" w:hint="cs"/>
          <w:noProof w:val="0"/>
          <w:sz w:val="26"/>
          <w:szCs w:val="26"/>
          <w:rtl/>
        </w:rPr>
        <w:t>,</w:t>
      </w:r>
      <w:r>
        <w:rPr>
          <w:rFonts w:ascii="Arial" w:hAnsi="Arial" w:hint="cs"/>
          <w:noProof w:val="0"/>
          <w:sz w:val="26"/>
          <w:szCs w:val="26"/>
          <w:rtl/>
        </w:rPr>
        <w:t xml:space="preserve"> והמונח השני לא נב</w:t>
      </w:r>
      <w:r w:rsidR="00EE1BB9">
        <w:rPr>
          <w:rFonts w:ascii="Arial" w:hAnsi="Arial" w:hint="cs"/>
          <w:noProof w:val="0"/>
          <w:sz w:val="26"/>
          <w:szCs w:val="26"/>
          <w:rtl/>
        </w:rPr>
        <w:t xml:space="preserve">לע לתוך הראשון. </w:t>
      </w:r>
    </w:p>
    <w:p w:rsidR="00D94E54" w:rsidRDefault="00D94E54" w:rsidP="00D94E54">
      <w:pPr>
        <w:pStyle w:val="ad"/>
        <w:spacing w:line="360" w:lineRule="auto"/>
        <w:ind w:left="587"/>
        <w:jc w:val="both"/>
        <w:rPr>
          <w:rFonts w:ascii="Arial" w:hAnsi="Arial"/>
          <w:noProof w:val="0"/>
          <w:sz w:val="26"/>
          <w:szCs w:val="26"/>
          <w:rtl/>
        </w:rPr>
      </w:pPr>
    </w:p>
    <w:p w:rsidR="003C4456" w:rsidRDefault="00EE1BB9" w:rsidP="00D94E54">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כמו כן, תיקון מס' 168 כלל לא תיקן, באופן עקיף, הוראה כלשהי </w:t>
      </w:r>
      <w:r w:rsidRPr="008C71D0">
        <w:rPr>
          <w:rFonts w:ascii="Arial" w:hAnsi="Arial" w:hint="cs"/>
          <w:b/>
          <w:bCs/>
          <w:noProof w:val="0"/>
          <w:sz w:val="26"/>
          <w:szCs w:val="26"/>
          <w:rtl/>
        </w:rPr>
        <w:t>בחוק מיסוי</w:t>
      </w:r>
      <w:r>
        <w:rPr>
          <w:rFonts w:ascii="Arial" w:hAnsi="Arial" w:hint="cs"/>
          <w:noProof w:val="0"/>
          <w:sz w:val="26"/>
          <w:szCs w:val="26"/>
          <w:rtl/>
        </w:rPr>
        <w:t xml:space="preserve"> </w:t>
      </w:r>
      <w:r w:rsidRPr="008C71D0">
        <w:rPr>
          <w:rFonts w:ascii="Arial" w:hAnsi="Arial" w:hint="cs"/>
          <w:b/>
          <w:bCs/>
          <w:noProof w:val="0"/>
          <w:sz w:val="26"/>
          <w:szCs w:val="26"/>
          <w:rtl/>
        </w:rPr>
        <w:t>מקרקעין</w:t>
      </w:r>
      <w:r>
        <w:rPr>
          <w:rFonts w:ascii="Arial" w:hAnsi="Arial" w:hint="cs"/>
          <w:noProof w:val="0"/>
          <w:sz w:val="26"/>
          <w:szCs w:val="26"/>
          <w:rtl/>
        </w:rPr>
        <w:t xml:space="preserve"> והתיקון יוחד לשינויים </w:t>
      </w:r>
      <w:r w:rsidRPr="00973A56">
        <w:rPr>
          <w:rFonts w:ascii="Arial" w:hAnsi="Arial" w:hint="cs"/>
          <w:b/>
          <w:bCs/>
          <w:noProof w:val="0"/>
          <w:sz w:val="26"/>
          <w:szCs w:val="26"/>
          <w:rtl/>
        </w:rPr>
        <w:t>בפקודה</w:t>
      </w:r>
      <w:r>
        <w:rPr>
          <w:rFonts w:ascii="Arial" w:hAnsi="Arial" w:hint="cs"/>
          <w:noProof w:val="0"/>
          <w:sz w:val="26"/>
          <w:szCs w:val="26"/>
          <w:rtl/>
        </w:rPr>
        <w:t xml:space="preserve"> בלבד. </w:t>
      </w:r>
    </w:p>
    <w:p w:rsidR="00E65C72" w:rsidRDefault="00E65C72" w:rsidP="00D94E54">
      <w:pPr>
        <w:pStyle w:val="ad"/>
        <w:spacing w:line="360" w:lineRule="auto"/>
        <w:ind w:left="587"/>
        <w:jc w:val="both"/>
        <w:rPr>
          <w:rFonts w:ascii="Arial" w:hAnsi="Arial"/>
          <w:noProof w:val="0"/>
          <w:sz w:val="26"/>
          <w:szCs w:val="26"/>
          <w:rtl/>
        </w:rPr>
      </w:pPr>
    </w:p>
    <w:p w:rsidR="00D94E54" w:rsidRDefault="008C71D0" w:rsidP="00DA47FF">
      <w:pPr>
        <w:pStyle w:val="ad"/>
        <w:numPr>
          <w:ilvl w:val="0"/>
          <w:numId w:val="2"/>
        </w:numPr>
        <w:spacing w:line="360" w:lineRule="auto"/>
        <w:ind w:left="587"/>
        <w:jc w:val="both"/>
        <w:rPr>
          <w:rFonts w:ascii="Arial" w:hAnsi="Arial"/>
          <w:noProof w:val="0"/>
          <w:sz w:val="26"/>
          <w:szCs w:val="26"/>
        </w:rPr>
      </w:pPr>
      <w:r w:rsidRPr="008C71D0">
        <w:rPr>
          <w:rFonts w:ascii="David" w:hAnsi="David" w:hint="cs"/>
          <w:sz w:val="26"/>
          <w:szCs w:val="26"/>
          <w:rtl/>
        </w:rPr>
        <w:t xml:space="preserve">נראה כי </w:t>
      </w:r>
      <w:r w:rsidR="00E65C72" w:rsidRPr="008C71D0">
        <w:rPr>
          <w:rFonts w:ascii="David" w:hAnsi="David" w:hint="cs"/>
          <w:sz w:val="26"/>
          <w:szCs w:val="26"/>
          <w:rtl/>
        </w:rPr>
        <w:t xml:space="preserve">יש להסיק מן ההוראות המפורשות שכן נכללו בתיקון מס' 168 לפקודה ומהחשיבה שוודאי קדמה לאימוצן, כי </w:t>
      </w:r>
      <w:r w:rsidR="00E65C72" w:rsidRPr="008C71D0">
        <w:rPr>
          <w:rFonts w:ascii="David" w:hAnsi="David" w:hint="cs"/>
          <w:b/>
          <w:bCs/>
          <w:sz w:val="26"/>
          <w:szCs w:val="26"/>
          <w:rtl/>
        </w:rPr>
        <w:t>לא</w:t>
      </w:r>
      <w:r w:rsidR="00E65C72" w:rsidRPr="008C71D0">
        <w:rPr>
          <w:rFonts w:ascii="David" w:hAnsi="David" w:hint="cs"/>
          <w:sz w:val="26"/>
          <w:szCs w:val="26"/>
          <w:rtl/>
        </w:rPr>
        <w:t xml:space="preserve"> הייתה כוונה להרחיב, באותה הזדמנות, את ההקלה במס רכישה על פי תקנה 12 הנדונה</w:t>
      </w:r>
      <w:r w:rsidRPr="008C71D0">
        <w:rPr>
          <w:rFonts w:ascii="David" w:hAnsi="David" w:hint="cs"/>
          <w:sz w:val="26"/>
          <w:szCs w:val="26"/>
          <w:rtl/>
        </w:rPr>
        <w:t>.</w:t>
      </w:r>
      <w:r w:rsidR="00E65C72" w:rsidRPr="008C71D0">
        <w:rPr>
          <w:rFonts w:ascii="David" w:hAnsi="David" w:hint="cs"/>
          <w:sz w:val="26"/>
          <w:szCs w:val="26"/>
          <w:rtl/>
        </w:rPr>
        <w:t xml:space="preserve"> </w:t>
      </w:r>
    </w:p>
    <w:p w:rsidR="008C71D0" w:rsidRPr="008C71D0" w:rsidRDefault="008C71D0" w:rsidP="008C71D0">
      <w:pPr>
        <w:pStyle w:val="ad"/>
        <w:spacing w:line="360" w:lineRule="auto"/>
        <w:ind w:left="587"/>
        <w:jc w:val="both"/>
        <w:rPr>
          <w:rFonts w:ascii="Arial" w:hAnsi="Arial"/>
          <w:noProof w:val="0"/>
          <w:sz w:val="26"/>
          <w:szCs w:val="26"/>
        </w:rPr>
      </w:pPr>
    </w:p>
    <w:p w:rsidR="00EE1BB9" w:rsidRDefault="00EE1BB9" w:rsidP="00C05847">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יתרה מזו, תיקון מס' 168 לפקודה לא נגע כלל בנוסח סעיף </w:t>
      </w:r>
      <w:r w:rsidR="00A93465">
        <w:rPr>
          <w:rFonts w:ascii="Arial" w:hAnsi="Arial" w:hint="cs"/>
          <w:noProof w:val="0"/>
          <w:sz w:val="26"/>
          <w:szCs w:val="26"/>
          <w:rtl/>
        </w:rPr>
        <w:t>35</w:t>
      </w:r>
      <w:r>
        <w:rPr>
          <w:rFonts w:ascii="Arial" w:hAnsi="Arial" w:hint="cs"/>
          <w:noProof w:val="0"/>
          <w:sz w:val="26"/>
          <w:szCs w:val="26"/>
          <w:rtl/>
        </w:rPr>
        <w:t xml:space="preserve"> </w:t>
      </w:r>
      <w:r w:rsidRPr="008C71D0">
        <w:rPr>
          <w:rFonts w:ascii="Arial" w:hAnsi="Arial" w:hint="cs"/>
          <w:b/>
          <w:bCs/>
          <w:noProof w:val="0"/>
          <w:sz w:val="26"/>
          <w:szCs w:val="26"/>
          <w:rtl/>
        </w:rPr>
        <w:t>לפקודת מס הכנסה</w:t>
      </w:r>
      <w:r>
        <w:rPr>
          <w:rFonts w:ascii="Arial" w:hAnsi="Arial" w:hint="cs"/>
          <w:noProof w:val="0"/>
          <w:sz w:val="26"/>
          <w:szCs w:val="26"/>
          <w:rtl/>
        </w:rPr>
        <w:t xml:space="preserve"> שעוסק ב</w:t>
      </w:r>
      <w:r w:rsidRPr="00A93465">
        <w:rPr>
          <w:rFonts w:ascii="Arial" w:hAnsi="Arial" w:hint="cs"/>
          <w:b/>
          <w:bCs/>
          <w:noProof w:val="0"/>
          <w:sz w:val="26"/>
          <w:szCs w:val="26"/>
          <w:rtl/>
        </w:rPr>
        <w:t>"זיכוי לעולה"</w:t>
      </w:r>
      <w:r>
        <w:rPr>
          <w:rFonts w:ascii="Arial" w:hAnsi="Arial" w:hint="cs"/>
          <w:noProof w:val="0"/>
          <w:sz w:val="26"/>
          <w:szCs w:val="26"/>
          <w:rtl/>
        </w:rPr>
        <w:t>. הוראה זו מעניקה נקודות זיכוי ל"עולה"</w:t>
      </w:r>
      <w:r w:rsidR="00D94E54">
        <w:rPr>
          <w:rFonts w:ascii="Arial" w:hAnsi="Arial" w:hint="cs"/>
          <w:noProof w:val="0"/>
          <w:sz w:val="26"/>
          <w:szCs w:val="26"/>
          <w:rtl/>
        </w:rPr>
        <w:t xml:space="preserve"> ומביאה לחסכון בתשלום מס הכנס</w:t>
      </w:r>
      <w:r>
        <w:rPr>
          <w:rFonts w:ascii="Arial" w:hAnsi="Arial" w:hint="cs"/>
          <w:noProof w:val="0"/>
          <w:sz w:val="26"/>
          <w:szCs w:val="26"/>
          <w:rtl/>
        </w:rPr>
        <w:t xml:space="preserve">ה. </w:t>
      </w:r>
    </w:p>
    <w:p w:rsidR="00D94E54" w:rsidRDefault="00D94E54" w:rsidP="00EE1BB9">
      <w:pPr>
        <w:pStyle w:val="ad"/>
        <w:spacing w:line="360" w:lineRule="auto"/>
        <w:ind w:left="587"/>
        <w:jc w:val="both"/>
        <w:rPr>
          <w:rFonts w:ascii="Arial" w:hAnsi="Arial"/>
          <w:noProof w:val="0"/>
          <w:sz w:val="26"/>
          <w:szCs w:val="26"/>
          <w:rtl/>
        </w:rPr>
      </w:pPr>
    </w:p>
    <w:p w:rsidR="00EE1BB9" w:rsidRDefault="00EE1BB9" w:rsidP="00EE1BB9">
      <w:pPr>
        <w:pStyle w:val="ad"/>
        <w:spacing w:line="360" w:lineRule="auto"/>
        <w:ind w:left="587"/>
        <w:jc w:val="both"/>
        <w:rPr>
          <w:rFonts w:ascii="Arial" w:hAnsi="Arial"/>
          <w:noProof w:val="0"/>
          <w:sz w:val="26"/>
          <w:szCs w:val="26"/>
          <w:rtl/>
        </w:rPr>
      </w:pPr>
      <w:r>
        <w:rPr>
          <w:rFonts w:ascii="Arial" w:hAnsi="Arial" w:hint="cs"/>
          <w:noProof w:val="0"/>
          <w:sz w:val="26"/>
          <w:szCs w:val="26"/>
          <w:rtl/>
        </w:rPr>
        <w:t>בעת אימוץ תיקון מס' 168</w:t>
      </w:r>
      <w:r w:rsidR="00C05847">
        <w:rPr>
          <w:rFonts w:ascii="Arial" w:hAnsi="Arial" w:hint="cs"/>
          <w:noProof w:val="0"/>
          <w:sz w:val="26"/>
          <w:szCs w:val="26"/>
          <w:rtl/>
        </w:rPr>
        <w:t>,</w:t>
      </w:r>
      <w:r>
        <w:rPr>
          <w:rFonts w:ascii="Arial" w:hAnsi="Arial" w:hint="cs"/>
          <w:noProof w:val="0"/>
          <w:sz w:val="26"/>
          <w:szCs w:val="26"/>
          <w:rtl/>
        </w:rPr>
        <w:t xml:space="preserve"> סעיף 35 הקנה לעולה נקודות זיכוי על פני תקופה של </w:t>
      </w:r>
      <w:r w:rsidRPr="00C05847">
        <w:rPr>
          <w:rFonts w:ascii="Arial" w:hAnsi="Arial" w:hint="cs"/>
          <w:noProof w:val="0"/>
          <w:sz w:val="26"/>
          <w:szCs w:val="26"/>
          <w:rtl/>
        </w:rPr>
        <w:t>42</w:t>
      </w:r>
      <w:r>
        <w:rPr>
          <w:rFonts w:ascii="Arial" w:hAnsi="Arial" w:hint="cs"/>
          <w:noProof w:val="0"/>
          <w:sz w:val="26"/>
          <w:szCs w:val="26"/>
          <w:rtl/>
        </w:rPr>
        <w:t xml:space="preserve"> </w:t>
      </w:r>
      <w:r w:rsidR="00C76BD2">
        <w:rPr>
          <w:rFonts w:ascii="Arial" w:hAnsi="Arial" w:hint="cs"/>
          <w:noProof w:val="0"/>
          <w:sz w:val="26"/>
          <w:szCs w:val="26"/>
          <w:rtl/>
        </w:rPr>
        <w:t>ה</w:t>
      </w:r>
      <w:r>
        <w:rPr>
          <w:rFonts w:ascii="Arial" w:hAnsi="Arial" w:hint="cs"/>
          <w:noProof w:val="0"/>
          <w:sz w:val="26"/>
          <w:szCs w:val="26"/>
          <w:rtl/>
        </w:rPr>
        <w:t xml:space="preserve">חודשים הראשונים </w:t>
      </w:r>
      <w:r>
        <w:rPr>
          <w:rFonts w:ascii="Arial" w:hAnsi="Arial" w:hint="cs"/>
          <w:b/>
          <w:bCs/>
          <w:noProof w:val="0"/>
          <w:sz w:val="26"/>
          <w:szCs w:val="26"/>
          <w:rtl/>
        </w:rPr>
        <w:t>"מעלייתו לישראל"</w:t>
      </w:r>
      <w:r>
        <w:rPr>
          <w:rFonts w:ascii="Arial" w:hAnsi="Arial" w:hint="cs"/>
          <w:noProof w:val="0"/>
          <w:sz w:val="26"/>
          <w:szCs w:val="26"/>
          <w:rtl/>
        </w:rPr>
        <w:t xml:space="preserve">. </w:t>
      </w:r>
    </w:p>
    <w:p w:rsidR="00EE1BB9" w:rsidRDefault="00EE1BB9" w:rsidP="00EE1BB9">
      <w:pPr>
        <w:pStyle w:val="ad"/>
        <w:spacing w:line="360" w:lineRule="auto"/>
        <w:ind w:left="587"/>
        <w:jc w:val="both"/>
        <w:rPr>
          <w:rFonts w:ascii="Arial" w:hAnsi="Arial"/>
          <w:noProof w:val="0"/>
          <w:sz w:val="26"/>
          <w:szCs w:val="26"/>
          <w:rtl/>
        </w:rPr>
      </w:pPr>
    </w:p>
    <w:p w:rsidR="00EE1BB9" w:rsidRDefault="00EE1BB9" w:rsidP="00EE1BB9">
      <w:pPr>
        <w:pStyle w:val="ad"/>
        <w:spacing w:line="360" w:lineRule="auto"/>
        <w:ind w:left="587"/>
        <w:jc w:val="both"/>
        <w:rPr>
          <w:rFonts w:ascii="Arial" w:hAnsi="Arial"/>
          <w:noProof w:val="0"/>
          <w:sz w:val="26"/>
          <w:szCs w:val="26"/>
          <w:rtl/>
        </w:rPr>
      </w:pPr>
      <w:r>
        <w:rPr>
          <w:rFonts w:ascii="Arial" w:hAnsi="Arial" w:hint="cs"/>
          <w:noProof w:val="0"/>
          <w:sz w:val="26"/>
          <w:szCs w:val="26"/>
          <w:rtl/>
        </w:rPr>
        <w:t>מונח המפתח "עולה" הוגדר אז בסעיף 35(ד) כדלקמן:</w:t>
      </w:r>
    </w:p>
    <w:p w:rsidR="00EE1BB9" w:rsidRDefault="00EE1BB9" w:rsidP="00EE1BB9">
      <w:pPr>
        <w:pStyle w:val="ad"/>
        <w:spacing w:line="360" w:lineRule="auto"/>
        <w:ind w:left="587"/>
        <w:jc w:val="both"/>
        <w:rPr>
          <w:rFonts w:ascii="Arial" w:hAnsi="Arial"/>
          <w:noProof w:val="0"/>
          <w:sz w:val="26"/>
          <w:szCs w:val="26"/>
          <w:rtl/>
        </w:rPr>
      </w:pPr>
    </w:p>
    <w:p w:rsidR="004575BF" w:rsidRPr="004575BF" w:rsidRDefault="004575BF" w:rsidP="004575BF">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"מי שבידו אשרת עולה או תעודת עולה לפי חוק השבות, תש"י-1950, או מי שזכאי לאשרה או לתעודה כאמור ובידו אשר</w:t>
      </w:r>
      <w:r w:rsidR="005C7455">
        <w:rPr>
          <w:rFonts w:ascii="Arial" w:hAnsi="Arial" w:hint="cs"/>
          <w:b/>
          <w:bCs/>
          <w:noProof w:val="0"/>
          <w:sz w:val="26"/>
          <w:szCs w:val="26"/>
          <w:rtl/>
        </w:rPr>
        <w:t>ה</w:t>
      </w:r>
      <w:r>
        <w:rPr>
          <w:rFonts w:ascii="Arial" w:hAnsi="Arial" w:hint="cs"/>
          <w:b/>
          <w:bCs/>
          <w:noProof w:val="0"/>
          <w:sz w:val="26"/>
          <w:szCs w:val="26"/>
          <w:rtl/>
        </w:rPr>
        <w:t xml:space="preserve"> או רשיון לישיבת ארעי לפי חוק הכניסה לישראל, תשי"ב-1952, או </w:t>
      </w:r>
      <w:r w:rsidR="005C7455">
        <w:rPr>
          <w:rFonts w:ascii="Arial" w:hAnsi="Arial" w:hint="cs"/>
          <w:b/>
          <w:bCs/>
          <w:noProof w:val="0"/>
          <w:sz w:val="26"/>
          <w:szCs w:val="26"/>
          <w:rtl/>
        </w:rPr>
        <w:t>מי שנמנה עם סוג בני אדם ששר האוצ</w:t>
      </w:r>
      <w:r w:rsidR="00C76BD2">
        <w:rPr>
          <w:rFonts w:ascii="Arial" w:hAnsi="Arial" w:hint="cs"/>
          <w:b/>
          <w:bCs/>
          <w:noProof w:val="0"/>
          <w:sz w:val="26"/>
          <w:szCs w:val="26"/>
          <w:rtl/>
        </w:rPr>
        <w:t>ר קבע שדינם כדין עולה לענין זה,</w:t>
      </w:r>
      <w:r>
        <w:rPr>
          <w:rFonts w:ascii="Arial" w:hAnsi="Arial" w:hint="cs"/>
          <w:b/>
          <w:bCs/>
          <w:noProof w:val="0"/>
          <w:sz w:val="26"/>
          <w:szCs w:val="26"/>
          <w:rtl/>
        </w:rPr>
        <w:t xml:space="preserve"> אך למעט מי שאזרחותו הישראלית התבטלה על פי סעיף 10(ד)</w:t>
      </w:r>
      <w:r w:rsidR="005C7455">
        <w:rPr>
          <w:rFonts w:ascii="Arial" w:hAnsi="Arial" w:hint="cs"/>
          <w:b/>
          <w:bCs/>
          <w:noProof w:val="0"/>
          <w:sz w:val="26"/>
          <w:szCs w:val="26"/>
          <w:rtl/>
        </w:rPr>
        <w:t xml:space="preserve"> לחוק האזרחות, תשי"ב-1952."</w:t>
      </w:r>
    </w:p>
    <w:p w:rsidR="00EE1BB9" w:rsidRPr="008A0781" w:rsidRDefault="00EE1BB9" w:rsidP="00EE1BB9">
      <w:pPr>
        <w:pStyle w:val="ad"/>
        <w:spacing w:line="360" w:lineRule="auto"/>
        <w:ind w:left="587"/>
        <w:jc w:val="both"/>
        <w:rPr>
          <w:rFonts w:ascii="Arial" w:hAnsi="Arial"/>
          <w:noProof w:val="0"/>
          <w:sz w:val="26"/>
          <w:szCs w:val="26"/>
          <w:rtl/>
        </w:rPr>
      </w:pPr>
    </w:p>
    <w:p w:rsidR="00EE1BB9" w:rsidRPr="008A0781" w:rsidRDefault="00EE1BB9" w:rsidP="00C76BD2">
      <w:pPr>
        <w:pStyle w:val="ad"/>
        <w:spacing w:line="360" w:lineRule="auto"/>
        <w:ind w:left="587"/>
        <w:jc w:val="both"/>
        <w:rPr>
          <w:rFonts w:ascii="Arial" w:hAnsi="Arial"/>
          <w:noProof w:val="0"/>
          <w:sz w:val="26"/>
          <w:szCs w:val="26"/>
          <w:rtl/>
        </w:rPr>
      </w:pPr>
      <w:r w:rsidRPr="008A0781">
        <w:rPr>
          <w:rFonts w:ascii="Arial" w:hAnsi="Arial" w:hint="cs"/>
          <w:noProof w:val="0"/>
          <w:sz w:val="26"/>
          <w:szCs w:val="26"/>
          <w:rtl/>
        </w:rPr>
        <w:t xml:space="preserve">ניכר הדמיון בין הגדרה זו </w:t>
      </w:r>
      <w:r w:rsidR="00C76BD2">
        <w:rPr>
          <w:rFonts w:ascii="Arial" w:hAnsi="Arial" w:hint="cs"/>
          <w:noProof w:val="0"/>
          <w:sz w:val="26"/>
          <w:szCs w:val="26"/>
          <w:rtl/>
        </w:rPr>
        <w:t>ש</w:t>
      </w:r>
      <w:r w:rsidRPr="008A0781">
        <w:rPr>
          <w:rFonts w:ascii="Arial" w:hAnsi="Arial" w:hint="cs"/>
          <w:noProof w:val="0"/>
          <w:sz w:val="26"/>
          <w:szCs w:val="26"/>
          <w:rtl/>
        </w:rPr>
        <w:t xml:space="preserve">בסעיף 35 </w:t>
      </w:r>
      <w:r w:rsidR="00C76BD2">
        <w:rPr>
          <w:rFonts w:ascii="Arial" w:hAnsi="Arial" w:hint="cs"/>
          <w:noProof w:val="0"/>
          <w:sz w:val="26"/>
          <w:szCs w:val="26"/>
          <w:rtl/>
        </w:rPr>
        <w:t xml:space="preserve">לפקודה </w:t>
      </w:r>
      <w:r w:rsidRPr="008A0781">
        <w:rPr>
          <w:rFonts w:ascii="Arial" w:hAnsi="Arial" w:hint="cs"/>
          <w:noProof w:val="0"/>
          <w:sz w:val="26"/>
          <w:szCs w:val="26"/>
          <w:rtl/>
        </w:rPr>
        <w:t xml:space="preserve">(בעת חקיקת תיקון מס' 168) ובין הגדרת "עולה" שבתקנה 12 לתקנות מס הרכישה. </w:t>
      </w:r>
    </w:p>
    <w:p w:rsidR="00EE1BB9" w:rsidRDefault="00EE1BB9" w:rsidP="00EE1BB9">
      <w:pPr>
        <w:pStyle w:val="ad"/>
        <w:spacing w:line="360" w:lineRule="auto"/>
        <w:ind w:left="587"/>
        <w:jc w:val="both"/>
        <w:rPr>
          <w:rFonts w:ascii="Arial" w:hAnsi="Arial"/>
          <w:noProof w:val="0"/>
          <w:sz w:val="26"/>
          <w:szCs w:val="26"/>
          <w:rtl/>
        </w:rPr>
      </w:pPr>
    </w:p>
    <w:p w:rsidR="00D94E54" w:rsidRDefault="00D94E54" w:rsidP="00EE1BB9">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והנה, תיקון מס' 168 </w:t>
      </w:r>
      <w:r>
        <w:rPr>
          <w:rFonts w:ascii="Arial" w:hAnsi="Arial" w:hint="cs"/>
          <w:b/>
          <w:bCs/>
          <w:noProof w:val="0"/>
          <w:sz w:val="26"/>
          <w:szCs w:val="26"/>
          <w:rtl/>
        </w:rPr>
        <w:t>לא נגע</w:t>
      </w:r>
      <w:r>
        <w:rPr>
          <w:rFonts w:ascii="Arial" w:hAnsi="Arial" w:hint="cs"/>
          <w:noProof w:val="0"/>
          <w:sz w:val="26"/>
          <w:szCs w:val="26"/>
          <w:rtl/>
        </w:rPr>
        <w:t xml:space="preserve"> בסעיף 35 ולא נקבע במסגרת התיקון האמור כי ד</w:t>
      </w:r>
      <w:r w:rsidR="00796C96">
        <w:rPr>
          <w:rFonts w:ascii="Arial" w:hAnsi="Arial" w:hint="cs"/>
          <w:noProof w:val="0"/>
          <w:sz w:val="26"/>
          <w:szCs w:val="26"/>
          <w:rtl/>
        </w:rPr>
        <w:t>י</w:t>
      </w:r>
      <w:r>
        <w:rPr>
          <w:rFonts w:ascii="Arial" w:hAnsi="Arial" w:hint="cs"/>
          <w:noProof w:val="0"/>
          <w:sz w:val="26"/>
          <w:szCs w:val="26"/>
          <w:rtl/>
        </w:rPr>
        <w:t>ן תושב חוזר ותיק כדין עולה</w:t>
      </w:r>
      <w:r w:rsidR="00796C96">
        <w:rPr>
          <w:rFonts w:ascii="Arial" w:hAnsi="Arial" w:hint="cs"/>
          <w:noProof w:val="0"/>
          <w:sz w:val="26"/>
          <w:szCs w:val="26"/>
          <w:rtl/>
        </w:rPr>
        <w:t xml:space="preserve"> לעניין נקודות הזיכוי.</w:t>
      </w:r>
      <w:r>
        <w:rPr>
          <w:rFonts w:ascii="Arial" w:hAnsi="Arial" w:hint="cs"/>
          <w:noProof w:val="0"/>
          <w:sz w:val="26"/>
          <w:szCs w:val="26"/>
          <w:rtl/>
        </w:rPr>
        <w:t xml:space="preserve"> בקשר ל"עניין מיסוי" חשוב זה </w:t>
      </w:r>
      <w:r>
        <w:rPr>
          <w:rFonts w:ascii="Arial" w:hAnsi="Arial" w:hint="cs"/>
          <w:b/>
          <w:bCs/>
          <w:noProof w:val="0"/>
          <w:sz w:val="26"/>
          <w:szCs w:val="26"/>
          <w:rtl/>
        </w:rPr>
        <w:t>לא</w:t>
      </w:r>
      <w:r>
        <w:rPr>
          <w:rFonts w:ascii="Arial" w:hAnsi="Arial" w:hint="cs"/>
          <w:noProof w:val="0"/>
          <w:sz w:val="26"/>
          <w:szCs w:val="26"/>
          <w:rtl/>
        </w:rPr>
        <w:t xml:space="preserve"> נעשתה השוואת הכללים (חרף ההצהרה הכוללנית שמופיע</w:t>
      </w:r>
      <w:r w:rsidR="00796C96">
        <w:rPr>
          <w:rFonts w:ascii="Arial" w:hAnsi="Arial" w:hint="cs"/>
          <w:noProof w:val="0"/>
          <w:sz w:val="26"/>
          <w:szCs w:val="26"/>
          <w:rtl/>
        </w:rPr>
        <w:t>ה</w:t>
      </w:r>
      <w:r>
        <w:rPr>
          <w:rFonts w:ascii="Arial" w:hAnsi="Arial" w:hint="cs"/>
          <w:noProof w:val="0"/>
          <w:sz w:val="26"/>
          <w:szCs w:val="26"/>
          <w:rtl/>
        </w:rPr>
        <w:t xml:space="preserve"> בדבר</w:t>
      </w:r>
      <w:r w:rsidR="007B3E12">
        <w:rPr>
          <w:rFonts w:ascii="Arial" w:hAnsi="Arial" w:hint="cs"/>
          <w:noProof w:val="0"/>
          <w:sz w:val="26"/>
          <w:szCs w:val="26"/>
          <w:rtl/>
        </w:rPr>
        <w:t>י</w:t>
      </w:r>
      <w:r>
        <w:rPr>
          <w:rFonts w:ascii="Arial" w:hAnsi="Arial" w:hint="cs"/>
          <w:noProof w:val="0"/>
          <w:sz w:val="26"/>
          <w:szCs w:val="26"/>
          <w:rtl/>
        </w:rPr>
        <w:t xml:space="preserve"> ההסבר לתיקון </w:t>
      </w:r>
      <w:r>
        <w:rPr>
          <w:rFonts w:ascii="Arial" w:hAnsi="Arial"/>
          <w:noProof w:val="0"/>
          <w:sz w:val="26"/>
          <w:szCs w:val="26"/>
          <w:rtl/>
        </w:rPr>
        <w:t>–</w:t>
      </w:r>
      <w:r>
        <w:rPr>
          <w:rFonts w:ascii="Arial" w:hAnsi="Arial" w:hint="cs"/>
          <w:noProof w:val="0"/>
          <w:sz w:val="26"/>
          <w:szCs w:val="26"/>
          <w:rtl/>
        </w:rPr>
        <w:t xml:space="preserve"> ראו סעיף</w:t>
      </w:r>
      <w:r w:rsidR="005C5FD4">
        <w:rPr>
          <w:rFonts w:ascii="Arial" w:hAnsi="Arial" w:hint="cs"/>
          <w:noProof w:val="0"/>
          <w:sz w:val="26"/>
          <w:szCs w:val="26"/>
          <w:rtl/>
        </w:rPr>
        <w:t xml:space="preserve"> 17</w:t>
      </w:r>
      <w:r>
        <w:rPr>
          <w:rFonts w:ascii="Arial" w:hAnsi="Arial" w:hint="cs"/>
          <w:noProof w:val="0"/>
          <w:sz w:val="26"/>
          <w:szCs w:val="26"/>
          <w:rtl/>
        </w:rPr>
        <w:t xml:space="preserve"> לעיל)</w:t>
      </w:r>
      <w:r w:rsidR="007B3E12">
        <w:rPr>
          <w:rFonts w:ascii="Arial" w:hAnsi="Arial" w:hint="cs"/>
          <w:noProof w:val="0"/>
          <w:sz w:val="26"/>
          <w:szCs w:val="26"/>
          <w:rtl/>
        </w:rPr>
        <w:t>.</w:t>
      </w:r>
    </w:p>
    <w:p w:rsidR="007B3E12" w:rsidRPr="00D94E54" w:rsidRDefault="007B3E12" w:rsidP="00EE1BB9">
      <w:pPr>
        <w:pStyle w:val="ad"/>
        <w:spacing w:line="360" w:lineRule="auto"/>
        <w:ind w:left="587"/>
        <w:jc w:val="both"/>
        <w:rPr>
          <w:rFonts w:ascii="Arial" w:hAnsi="Arial"/>
          <w:noProof w:val="0"/>
          <w:sz w:val="26"/>
          <w:szCs w:val="26"/>
        </w:rPr>
      </w:pPr>
    </w:p>
    <w:p w:rsidR="0005783D" w:rsidRDefault="002D2E6F" w:rsidP="00796C96">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עוד יוער כי</w:t>
      </w:r>
      <w:r w:rsidR="007B3E12">
        <w:rPr>
          <w:rFonts w:ascii="Arial" w:hAnsi="Arial" w:hint="cs"/>
          <w:noProof w:val="0"/>
          <w:sz w:val="26"/>
          <w:szCs w:val="26"/>
          <w:rtl/>
        </w:rPr>
        <w:t xml:space="preserve"> סעיף 35(ה) לפקודה מסמיך את שר האו</w:t>
      </w:r>
      <w:r w:rsidR="00796C96">
        <w:rPr>
          <w:rFonts w:ascii="Arial" w:hAnsi="Arial" w:hint="cs"/>
          <w:noProof w:val="0"/>
          <w:sz w:val="26"/>
          <w:szCs w:val="26"/>
          <w:rtl/>
        </w:rPr>
        <w:t>צ</w:t>
      </w:r>
      <w:r w:rsidR="007B3E12">
        <w:rPr>
          <w:rFonts w:ascii="Arial" w:hAnsi="Arial" w:hint="cs"/>
          <w:noProof w:val="0"/>
          <w:sz w:val="26"/>
          <w:szCs w:val="26"/>
          <w:rtl/>
        </w:rPr>
        <w:t>ר, באישור ועדת הכספים של הכנסת, "</w:t>
      </w:r>
      <w:r w:rsidR="007B3E12" w:rsidRPr="00796C96">
        <w:rPr>
          <w:rFonts w:ascii="Arial" w:hAnsi="Arial" w:hint="cs"/>
          <w:b/>
          <w:bCs/>
          <w:noProof w:val="0"/>
          <w:sz w:val="26"/>
          <w:szCs w:val="26"/>
          <w:rtl/>
        </w:rPr>
        <w:t>(1)</w:t>
      </w:r>
      <w:r w:rsidR="007B3E12">
        <w:rPr>
          <w:rFonts w:ascii="Arial" w:hAnsi="Arial" w:hint="cs"/>
          <w:noProof w:val="0"/>
          <w:sz w:val="26"/>
          <w:szCs w:val="26"/>
          <w:rtl/>
        </w:rPr>
        <w:t xml:space="preserve"> [לקבוע] </w:t>
      </w:r>
      <w:r w:rsidR="007B3E12">
        <w:rPr>
          <w:rFonts w:ascii="Arial" w:hAnsi="Arial" w:hint="cs"/>
          <w:b/>
          <w:bCs/>
          <w:noProof w:val="0"/>
          <w:sz w:val="26"/>
          <w:szCs w:val="26"/>
          <w:rtl/>
        </w:rPr>
        <w:t>כללים למתן הזיכויים על פי סעיף קטן (א) למי שהיה בעבר בגדר 'עולה'"</w:t>
      </w:r>
      <w:r w:rsidR="007B3E12">
        <w:rPr>
          <w:rFonts w:ascii="Arial" w:hAnsi="Arial" w:hint="cs"/>
          <w:noProof w:val="0"/>
          <w:sz w:val="26"/>
          <w:szCs w:val="26"/>
          <w:rtl/>
        </w:rPr>
        <w:t>. שר האוצר עשה שימוש בסמכות זו בשנת 1977 והרחיב את הזכאות לנקודות הזיכוי אף לעולה שעזב את ישראל וחזר (כללי מס הכנסה (זיכוי לעולים במקרים מיוחדים), התשל"ה-1977</w:t>
      </w:r>
      <w:r w:rsidR="00796C96">
        <w:rPr>
          <w:rFonts w:ascii="Arial" w:hAnsi="Arial" w:hint="cs"/>
          <w:noProof w:val="0"/>
          <w:sz w:val="26"/>
          <w:szCs w:val="26"/>
          <w:rtl/>
        </w:rPr>
        <w:t>)</w:t>
      </w:r>
      <w:r w:rsidR="007B3E12">
        <w:rPr>
          <w:rFonts w:ascii="Arial" w:hAnsi="Arial" w:hint="cs"/>
          <w:noProof w:val="0"/>
          <w:sz w:val="26"/>
          <w:szCs w:val="26"/>
          <w:rtl/>
        </w:rPr>
        <w:t>. סעיף 2(3) לאותם כללים משנת 1977 קבע כי "יראו כע</w:t>
      </w:r>
      <w:r w:rsidR="00D822AD">
        <w:rPr>
          <w:rFonts w:ascii="Arial" w:hAnsi="Arial" w:hint="cs"/>
          <w:noProof w:val="0"/>
          <w:sz w:val="26"/>
          <w:szCs w:val="26"/>
          <w:rtl/>
        </w:rPr>
        <w:t xml:space="preserve">ולה" לעניין </w:t>
      </w:r>
      <w:r w:rsidR="00796C96">
        <w:rPr>
          <w:rFonts w:ascii="Arial" w:hAnsi="Arial" w:hint="cs"/>
          <w:noProof w:val="0"/>
          <w:sz w:val="26"/>
          <w:szCs w:val="26"/>
          <w:rtl/>
        </w:rPr>
        <w:t>נקודות הזיכוי גם את</w:t>
      </w:r>
      <w:r w:rsidR="007B3E12">
        <w:rPr>
          <w:rFonts w:ascii="Arial" w:hAnsi="Arial" w:hint="cs"/>
          <w:noProof w:val="0"/>
          <w:sz w:val="26"/>
          <w:szCs w:val="26"/>
          <w:rtl/>
        </w:rPr>
        <w:t xml:space="preserve"> </w:t>
      </w:r>
      <w:r w:rsidR="007B3E12">
        <w:rPr>
          <w:rFonts w:ascii="Arial" w:hAnsi="Arial" w:hint="cs"/>
          <w:b/>
          <w:bCs/>
          <w:noProof w:val="0"/>
          <w:sz w:val="26"/>
          <w:szCs w:val="26"/>
          <w:rtl/>
        </w:rPr>
        <w:t>"מי עזב את ישראל כקטין וחזר אליה כעבור תקופה של חמש שנים לפחות"</w:t>
      </w:r>
      <w:r w:rsidR="002146D0">
        <w:rPr>
          <w:rFonts w:ascii="Arial" w:hAnsi="Arial" w:hint="cs"/>
          <w:noProof w:val="0"/>
          <w:sz w:val="26"/>
          <w:szCs w:val="26"/>
          <w:rtl/>
        </w:rPr>
        <w:t>. מעבר להוראה מסו</w:t>
      </w:r>
      <w:r w:rsidR="007B3E12">
        <w:rPr>
          <w:rFonts w:ascii="Arial" w:hAnsi="Arial" w:hint="cs"/>
          <w:noProof w:val="0"/>
          <w:sz w:val="26"/>
          <w:szCs w:val="26"/>
          <w:rtl/>
        </w:rPr>
        <w:t>ימת זו לא נעש</w:t>
      </w:r>
      <w:r w:rsidR="00D553EF">
        <w:rPr>
          <w:rFonts w:ascii="Arial" w:hAnsi="Arial" w:hint="cs"/>
          <w:noProof w:val="0"/>
          <w:sz w:val="26"/>
          <w:szCs w:val="26"/>
          <w:rtl/>
        </w:rPr>
        <w:t>ה</w:t>
      </w:r>
      <w:r w:rsidR="007B3E12">
        <w:rPr>
          <w:rFonts w:ascii="Arial" w:hAnsi="Arial" w:hint="cs"/>
          <w:noProof w:val="0"/>
          <w:sz w:val="26"/>
          <w:szCs w:val="26"/>
          <w:rtl/>
        </w:rPr>
        <w:t xml:space="preserve"> נסיון אחר במסגרת אותם כללים כדי להשוו</w:t>
      </w:r>
      <w:r w:rsidR="00470E9E">
        <w:rPr>
          <w:rFonts w:ascii="Arial" w:hAnsi="Arial" w:hint="cs"/>
          <w:noProof w:val="0"/>
          <w:sz w:val="26"/>
          <w:szCs w:val="26"/>
          <w:rtl/>
        </w:rPr>
        <w:t>ת את מעמדו של תושב חוזר ותיק לזה</w:t>
      </w:r>
      <w:r w:rsidR="007B3E12">
        <w:rPr>
          <w:rFonts w:ascii="Arial" w:hAnsi="Arial" w:hint="cs"/>
          <w:noProof w:val="0"/>
          <w:sz w:val="26"/>
          <w:szCs w:val="26"/>
          <w:rtl/>
        </w:rPr>
        <w:t xml:space="preserve"> של עולה לעניין נקודות זיכוי</w:t>
      </w:r>
      <w:r w:rsidR="005C5FD4">
        <w:rPr>
          <w:rFonts w:ascii="Arial" w:hAnsi="Arial" w:hint="cs"/>
          <w:noProof w:val="0"/>
          <w:sz w:val="26"/>
          <w:szCs w:val="26"/>
          <w:rtl/>
        </w:rPr>
        <w:t>.</w:t>
      </w:r>
      <w:r w:rsidR="007B3E12">
        <w:rPr>
          <w:rStyle w:val="af0"/>
          <w:rFonts w:ascii="Arial" w:hAnsi="Arial"/>
          <w:noProof w:val="0"/>
          <w:sz w:val="26"/>
          <w:szCs w:val="26"/>
          <w:rtl/>
        </w:rPr>
        <w:footnoteReference w:id="6"/>
      </w:r>
    </w:p>
    <w:p w:rsidR="00F109D6" w:rsidRPr="00D822AD" w:rsidRDefault="00F109D6" w:rsidP="00F109D6">
      <w:pPr>
        <w:pStyle w:val="ad"/>
        <w:spacing w:line="360" w:lineRule="auto"/>
        <w:ind w:left="587"/>
        <w:jc w:val="both"/>
        <w:rPr>
          <w:rFonts w:ascii="Arial" w:hAnsi="Arial"/>
          <w:noProof w:val="0"/>
          <w:sz w:val="26"/>
          <w:szCs w:val="26"/>
        </w:rPr>
      </w:pPr>
    </w:p>
    <w:p w:rsidR="00F109D6" w:rsidRDefault="00F109D6" w:rsidP="00D42F5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חשוב עוד יותר, בשנת 2011, שנתיים </w:t>
      </w:r>
      <w:r w:rsidRPr="00470E9E">
        <w:rPr>
          <w:rFonts w:ascii="Arial" w:hAnsi="Arial" w:hint="cs"/>
          <w:b/>
          <w:bCs/>
          <w:noProof w:val="0"/>
          <w:sz w:val="26"/>
          <w:szCs w:val="26"/>
          <w:rtl/>
        </w:rPr>
        <w:t>לאחר</w:t>
      </w:r>
      <w:r>
        <w:rPr>
          <w:rFonts w:ascii="Arial" w:hAnsi="Arial" w:hint="cs"/>
          <w:noProof w:val="0"/>
          <w:sz w:val="26"/>
          <w:szCs w:val="26"/>
          <w:rtl/>
        </w:rPr>
        <w:t xml:space="preserve"> חקיקת תיקון מס' 168 לפקודה, תוקן סעיף 35 והוספה לראשונה התייחסות כללית </w:t>
      </w:r>
      <w:r>
        <w:rPr>
          <w:rFonts w:ascii="Arial" w:hAnsi="Arial" w:hint="cs"/>
          <w:b/>
          <w:bCs/>
          <w:noProof w:val="0"/>
          <w:sz w:val="26"/>
          <w:szCs w:val="26"/>
          <w:rtl/>
        </w:rPr>
        <w:t>לתושב חוזר</w:t>
      </w:r>
      <w:r>
        <w:rPr>
          <w:rFonts w:ascii="Arial" w:hAnsi="Arial" w:hint="cs"/>
          <w:noProof w:val="0"/>
          <w:sz w:val="26"/>
          <w:szCs w:val="26"/>
          <w:rtl/>
        </w:rPr>
        <w:t>. במסגרת תיקון מס' 181 לפקודה (ס"ח 2272, עמוד 194, מיום 12.1.2011) תוקנה הגדרת המונח "עולה" שבסעיף קטן 35(ד) והוספו שם המילים "תושב חוזר", כסוג נוסף של "עולה" לעניין מתן נקודות זיכוי. אלא מאי? המונח "תושב חוזר"</w:t>
      </w:r>
      <w:r w:rsidR="00470E9E">
        <w:rPr>
          <w:rFonts w:ascii="Arial" w:hAnsi="Arial" w:hint="cs"/>
          <w:noProof w:val="0"/>
          <w:sz w:val="26"/>
          <w:szCs w:val="26"/>
          <w:rtl/>
        </w:rPr>
        <w:t>, שהוט</w:t>
      </w:r>
      <w:r>
        <w:rPr>
          <w:rFonts w:ascii="Arial" w:hAnsi="Arial" w:hint="cs"/>
          <w:noProof w:val="0"/>
          <w:sz w:val="26"/>
          <w:szCs w:val="26"/>
          <w:rtl/>
        </w:rPr>
        <w:t>מע לראשונה בהוראות סעיף 35</w:t>
      </w:r>
      <w:r w:rsidR="00470E9E">
        <w:rPr>
          <w:rFonts w:ascii="Arial" w:hAnsi="Arial" w:hint="cs"/>
          <w:noProof w:val="0"/>
          <w:sz w:val="26"/>
          <w:szCs w:val="26"/>
          <w:rtl/>
        </w:rPr>
        <w:t>,</w:t>
      </w:r>
      <w:r>
        <w:rPr>
          <w:rFonts w:ascii="Arial" w:hAnsi="Arial" w:hint="cs"/>
          <w:noProof w:val="0"/>
          <w:sz w:val="26"/>
          <w:szCs w:val="26"/>
          <w:rtl/>
        </w:rPr>
        <w:t xml:space="preserve"> הוגדר כלהלן: </w:t>
      </w:r>
    </w:p>
    <w:p w:rsidR="00F109D6" w:rsidRDefault="00F109D6" w:rsidP="00F109D6">
      <w:pPr>
        <w:pStyle w:val="ad"/>
        <w:spacing w:line="360" w:lineRule="auto"/>
        <w:ind w:left="587"/>
        <w:jc w:val="both"/>
        <w:rPr>
          <w:rFonts w:ascii="Arial" w:hAnsi="Arial"/>
          <w:noProof w:val="0"/>
          <w:sz w:val="26"/>
          <w:szCs w:val="26"/>
          <w:highlight w:val="yellow"/>
          <w:rtl/>
        </w:rPr>
      </w:pPr>
      <w:r>
        <w:rPr>
          <w:rFonts w:ascii="Arial" w:hAnsi="Arial" w:hint="cs"/>
          <w:noProof w:val="0"/>
          <w:sz w:val="26"/>
          <w:szCs w:val="26"/>
          <w:rtl/>
        </w:rPr>
        <w:t xml:space="preserve">       </w:t>
      </w:r>
    </w:p>
    <w:p w:rsidR="00F71E76" w:rsidRPr="00F71E76" w:rsidRDefault="00F71E76" w:rsidP="00C11082">
      <w:pPr>
        <w:pStyle w:val="p01"/>
        <w:bidi/>
        <w:spacing w:before="72" w:beforeAutospacing="0" w:after="0" w:afterAutospacing="0" w:line="360" w:lineRule="auto"/>
        <w:ind w:left="1758" w:right="567" w:hanging="624"/>
        <w:jc w:val="both"/>
        <w:rPr>
          <w:rFonts w:ascii="David" w:hAnsi="David" w:cs="David"/>
          <w:b/>
          <w:bCs/>
          <w:color w:val="000000"/>
          <w:sz w:val="20"/>
          <w:szCs w:val="20"/>
        </w:rPr>
      </w:pPr>
      <w:r>
        <w:rPr>
          <w:rFonts w:ascii="FrankRuehl" w:hAnsi="FrankRuehl" w:cs="FrankRuehl" w:hint="cs"/>
          <w:color w:val="000000"/>
          <w:sz w:val="26"/>
          <w:szCs w:val="26"/>
          <w:rtl/>
        </w:rPr>
        <w:t xml:space="preserve">           </w:t>
      </w:r>
      <w:r w:rsidR="00C11082">
        <w:rPr>
          <w:rFonts w:ascii="David" w:hAnsi="David" w:cs="David" w:hint="cs"/>
          <w:color w:val="000000"/>
          <w:sz w:val="26"/>
          <w:szCs w:val="26"/>
          <w:rtl/>
        </w:rPr>
        <w:t>"</w:t>
      </w:r>
      <w:r w:rsidR="00C11082" w:rsidRPr="00C11082">
        <w:rPr>
          <w:rFonts w:ascii="David" w:hAnsi="David" w:cs="David" w:hint="cs"/>
          <w:b/>
          <w:bCs/>
          <w:color w:val="000000"/>
          <w:sz w:val="26"/>
          <w:szCs w:val="26"/>
          <w:rtl/>
        </w:rPr>
        <w:t>יחיד</w:t>
      </w:r>
      <w:r w:rsidRPr="00F71E76">
        <w:rPr>
          <w:rFonts w:ascii="David" w:hAnsi="David" w:cs="David"/>
          <w:b/>
          <w:bCs/>
          <w:color w:val="000000"/>
          <w:sz w:val="26"/>
          <w:szCs w:val="26"/>
          <w:rtl/>
        </w:rPr>
        <w:t xml:space="preserve"> ששב והיה לתושב ישראל בתקופה שמיום ג' בסיוון התש"ע (16 במאי 2010) עד יום י"ד בתשרי התשע"ג (30 בספטמבר 2012), לאחר שהיה תושב חוץ במשך שש שנים רצופות; לעניין זה יראו מי שבידו תעודת תושב חוזר מאת המשרד לקליטת העלייה ולפיה שהה מחוץ לישראל שש שנים לפחות, כמי שהיה תושב חוץ במשך שש שנים רצופות</w:t>
      </w:r>
      <w:r w:rsidRPr="00F71E76">
        <w:rPr>
          <w:rFonts w:ascii="David" w:hAnsi="David" w:cs="David"/>
          <w:b/>
          <w:bCs/>
          <w:color w:val="000000"/>
          <w:sz w:val="26"/>
          <w:szCs w:val="26"/>
        </w:rPr>
        <w:t>.</w:t>
      </w:r>
      <w:r w:rsidR="00C11082">
        <w:rPr>
          <w:rFonts w:ascii="David" w:hAnsi="David" w:cs="David" w:hint="cs"/>
          <w:b/>
          <w:bCs/>
          <w:color w:val="000000"/>
          <w:sz w:val="26"/>
          <w:szCs w:val="26"/>
          <w:rtl/>
        </w:rPr>
        <w:t>"</w:t>
      </w:r>
    </w:p>
    <w:p w:rsidR="00F71E76" w:rsidRPr="00F71E76" w:rsidRDefault="00F71E76" w:rsidP="00F71E76">
      <w:pPr>
        <w:pStyle w:val="p01"/>
        <w:bidi/>
        <w:spacing w:before="72" w:beforeAutospacing="0" w:after="0" w:afterAutospacing="0" w:line="360" w:lineRule="auto"/>
        <w:ind w:left="624" w:right="1134" w:hanging="624"/>
        <w:jc w:val="both"/>
        <w:rPr>
          <w:rFonts w:ascii="David" w:hAnsi="David" w:cs="David"/>
          <w:b/>
          <w:bCs/>
          <w:color w:val="000000"/>
          <w:sz w:val="20"/>
          <w:szCs w:val="20"/>
          <w:rtl/>
        </w:rPr>
      </w:pPr>
    </w:p>
    <w:p w:rsidR="00E80A35" w:rsidRDefault="00E80A35" w:rsidP="00E41A61">
      <w:pPr>
        <w:pStyle w:val="ad"/>
        <w:spacing w:line="360" w:lineRule="auto"/>
        <w:ind w:left="587"/>
        <w:jc w:val="both"/>
        <w:rPr>
          <w:rFonts w:ascii="Arial" w:hAnsi="Arial"/>
          <w:noProof w:val="0"/>
          <w:sz w:val="26"/>
          <w:szCs w:val="26"/>
          <w:rtl/>
        </w:rPr>
      </w:pPr>
      <w:r w:rsidRPr="00E80A35">
        <w:rPr>
          <w:rFonts w:ascii="Arial" w:hAnsi="Arial" w:hint="cs"/>
          <w:noProof w:val="0"/>
          <w:sz w:val="26"/>
          <w:szCs w:val="26"/>
          <w:rtl/>
        </w:rPr>
        <w:t xml:space="preserve">כלומר, מדובר </w:t>
      </w:r>
      <w:r w:rsidRPr="00E80A35">
        <w:rPr>
          <w:rFonts w:ascii="Arial" w:hAnsi="Arial" w:hint="cs"/>
          <w:b/>
          <w:bCs/>
          <w:noProof w:val="0"/>
          <w:sz w:val="26"/>
          <w:szCs w:val="26"/>
          <w:rtl/>
        </w:rPr>
        <w:t>בהוראה זמנית</w:t>
      </w:r>
      <w:r w:rsidR="00E41A61">
        <w:rPr>
          <w:rFonts w:ascii="Arial" w:hAnsi="Arial" w:hint="cs"/>
          <w:noProof w:val="0"/>
          <w:sz w:val="26"/>
          <w:szCs w:val="26"/>
          <w:rtl/>
        </w:rPr>
        <w:t xml:space="preserve"> שיצרה חלון הזדמנות מוגבל</w:t>
      </w:r>
      <w:r w:rsidRPr="00E80A35">
        <w:rPr>
          <w:rFonts w:ascii="Arial" w:hAnsi="Arial" w:hint="cs"/>
          <w:noProof w:val="0"/>
          <w:sz w:val="26"/>
          <w:szCs w:val="26"/>
          <w:rtl/>
        </w:rPr>
        <w:t xml:space="preserve"> להחלת נקוד</w:t>
      </w:r>
      <w:r w:rsidR="00E41A61">
        <w:rPr>
          <w:rFonts w:ascii="Arial" w:hAnsi="Arial" w:hint="cs"/>
          <w:noProof w:val="0"/>
          <w:sz w:val="26"/>
          <w:szCs w:val="26"/>
          <w:rtl/>
        </w:rPr>
        <w:t>ו</w:t>
      </w:r>
      <w:r w:rsidRPr="00E80A35">
        <w:rPr>
          <w:rFonts w:ascii="Arial" w:hAnsi="Arial" w:hint="cs"/>
          <w:noProof w:val="0"/>
          <w:sz w:val="26"/>
          <w:szCs w:val="26"/>
          <w:rtl/>
        </w:rPr>
        <w:t xml:space="preserve">ת הזיכוי של עולה גם למי שחזר לישראל במהלך התקופה האמורה של כ- 28 חודשים. </w:t>
      </w:r>
    </w:p>
    <w:p w:rsidR="00E80A35" w:rsidRPr="00E80A35" w:rsidRDefault="00E80A35" w:rsidP="00F109D6">
      <w:pPr>
        <w:pStyle w:val="ad"/>
        <w:spacing w:line="360" w:lineRule="auto"/>
        <w:ind w:left="587"/>
        <w:jc w:val="both"/>
        <w:rPr>
          <w:rFonts w:ascii="Arial" w:hAnsi="Arial"/>
          <w:noProof w:val="0"/>
          <w:sz w:val="26"/>
          <w:szCs w:val="26"/>
          <w:rtl/>
        </w:rPr>
      </w:pPr>
    </w:p>
    <w:p w:rsidR="00F109D6" w:rsidRDefault="00E80A35" w:rsidP="00E41A61">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לדעתי, לאמור לעיל חשיבות לענייננו: סעיף 35 לפקודה ותקנה 12 לתקנות מס </w:t>
      </w:r>
      <w:r w:rsidR="00E41A61">
        <w:rPr>
          <w:rFonts w:ascii="Arial" w:hAnsi="Arial" w:hint="cs"/>
          <w:noProof w:val="0"/>
          <w:sz w:val="26"/>
          <w:szCs w:val="26"/>
          <w:rtl/>
        </w:rPr>
        <w:t>הרכישה הגדירו</w:t>
      </w:r>
      <w:r>
        <w:rPr>
          <w:rFonts w:ascii="Arial" w:hAnsi="Arial" w:hint="cs"/>
          <w:noProof w:val="0"/>
          <w:sz w:val="26"/>
          <w:szCs w:val="26"/>
          <w:rtl/>
        </w:rPr>
        <w:t xml:space="preserve"> "עולה" באופן דומה. תיק</w:t>
      </w:r>
      <w:r w:rsidR="00CE438B">
        <w:rPr>
          <w:rFonts w:ascii="Arial" w:hAnsi="Arial" w:hint="cs"/>
          <w:noProof w:val="0"/>
          <w:sz w:val="26"/>
          <w:szCs w:val="26"/>
          <w:rtl/>
        </w:rPr>
        <w:t>ון מס' 168 לפקודה משנת 2008 פ</w:t>
      </w:r>
      <w:r w:rsidR="00E41A61">
        <w:rPr>
          <w:rFonts w:ascii="Arial" w:hAnsi="Arial" w:hint="cs"/>
          <w:noProof w:val="0"/>
          <w:sz w:val="26"/>
          <w:szCs w:val="26"/>
          <w:rtl/>
        </w:rPr>
        <w:t>סח על סעיף 35, למרות ש</w:t>
      </w:r>
      <w:r>
        <w:rPr>
          <w:rFonts w:ascii="Arial" w:hAnsi="Arial" w:hint="cs"/>
          <w:noProof w:val="0"/>
          <w:sz w:val="26"/>
          <w:szCs w:val="26"/>
          <w:rtl/>
        </w:rPr>
        <w:t xml:space="preserve">סעיף </w:t>
      </w:r>
      <w:r w:rsidR="00E41A61">
        <w:rPr>
          <w:rFonts w:ascii="Arial" w:hAnsi="Arial" w:hint="cs"/>
          <w:noProof w:val="0"/>
          <w:sz w:val="26"/>
          <w:szCs w:val="26"/>
          <w:rtl/>
        </w:rPr>
        <w:t xml:space="preserve">זה </w:t>
      </w:r>
      <w:r>
        <w:rPr>
          <w:rFonts w:ascii="Arial" w:hAnsi="Arial" w:hint="cs"/>
          <w:noProof w:val="0"/>
          <w:sz w:val="26"/>
          <w:szCs w:val="26"/>
          <w:rtl/>
        </w:rPr>
        <w:t>נמצא יחד עם סעיף 14 (ששו</w:t>
      </w:r>
      <w:r w:rsidR="00B0080C">
        <w:rPr>
          <w:rFonts w:ascii="Arial" w:hAnsi="Arial" w:hint="cs"/>
          <w:noProof w:val="0"/>
          <w:sz w:val="26"/>
          <w:szCs w:val="26"/>
          <w:rtl/>
        </w:rPr>
        <w:t>ּ</w:t>
      </w:r>
      <w:r>
        <w:rPr>
          <w:rFonts w:ascii="Arial" w:hAnsi="Arial" w:hint="cs"/>
          <w:noProof w:val="0"/>
          <w:sz w:val="26"/>
          <w:szCs w:val="26"/>
          <w:rtl/>
        </w:rPr>
        <w:t xml:space="preserve">נה באופן יסודי) </w:t>
      </w:r>
      <w:r w:rsidRPr="00E41A61">
        <w:rPr>
          <w:rFonts w:ascii="Arial" w:hAnsi="Arial" w:hint="cs"/>
          <w:b/>
          <w:bCs/>
          <w:noProof w:val="0"/>
          <w:sz w:val="26"/>
          <w:szCs w:val="26"/>
          <w:rtl/>
        </w:rPr>
        <w:t>באותו חיקוק. תיקון מס' 168 לא התייחס כלל לחוק מיסוי מקרקעין</w:t>
      </w:r>
      <w:r>
        <w:rPr>
          <w:rFonts w:ascii="Arial" w:hAnsi="Arial" w:hint="cs"/>
          <w:noProof w:val="0"/>
          <w:sz w:val="26"/>
          <w:szCs w:val="26"/>
          <w:rtl/>
        </w:rPr>
        <w:t xml:space="preserve">. </w:t>
      </w:r>
    </w:p>
    <w:p w:rsidR="00E80A35" w:rsidRDefault="00E80A35" w:rsidP="00E80A35">
      <w:pPr>
        <w:pStyle w:val="ad"/>
        <w:spacing w:line="360" w:lineRule="auto"/>
        <w:ind w:left="587"/>
        <w:jc w:val="both"/>
        <w:rPr>
          <w:rFonts w:ascii="Arial" w:hAnsi="Arial"/>
          <w:noProof w:val="0"/>
          <w:sz w:val="26"/>
          <w:szCs w:val="26"/>
          <w:rtl/>
        </w:rPr>
      </w:pPr>
    </w:p>
    <w:p w:rsidR="00E80A35" w:rsidRDefault="00E80A35" w:rsidP="00E80A35">
      <w:pPr>
        <w:pStyle w:val="ad"/>
        <w:spacing w:line="360" w:lineRule="auto"/>
        <w:ind w:left="587"/>
        <w:jc w:val="both"/>
        <w:rPr>
          <w:rFonts w:ascii="Arial" w:hAnsi="Arial"/>
          <w:noProof w:val="0"/>
          <w:sz w:val="26"/>
          <w:szCs w:val="26"/>
          <w:rtl/>
        </w:rPr>
      </w:pPr>
      <w:r>
        <w:rPr>
          <w:rFonts w:ascii="Arial" w:hAnsi="Arial" w:hint="cs"/>
          <w:noProof w:val="0"/>
          <w:sz w:val="26"/>
          <w:szCs w:val="26"/>
          <w:rtl/>
        </w:rPr>
        <w:t>כמוסבר,</w:t>
      </w:r>
      <w:r w:rsidR="00A820AB">
        <w:rPr>
          <w:rFonts w:ascii="Arial" w:hAnsi="Arial" w:hint="cs"/>
          <w:noProof w:val="0"/>
          <w:sz w:val="26"/>
          <w:szCs w:val="26"/>
          <w:rtl/>
        </w:rPr>
        <w:t xml:space="preserve"> שנתיים לאחר</w:t>
      </w:r>
      <w:r>
        <w:rPr>
          <w:rFonts w:ascii="Arial" w:hAnsi="Arial" w:hint="cs"/>
          <w:noProof w:val="0"/>
          <w:sz w:val="26"/>
          <w:szCs w:val="26"/>
          <w:rtl/>
        </w:rPr>
        <w:t xml:space="preserve"> מכן, תיקון מס' 181 לפקודה הביא להחלה מוגבלת וזמנית של הוראות סעיף 35 לגבי "תושב חוזר" (</w:t>
      </w:r>
      <w:r>
        <w:rPr>
          <w:rFonts w:ascii="Arial" w:hAnsi="Arial" w:hint="cs"/>
          <w:b/>
          <w:bCs/>
          <w:noProof w:val="0"/>
          <w:sz w:val="26"/>
          <w:szCs w:val="26"/>
          <w:rtl/>
        </w:rPr>
        <w:t xml:space="preserve">ללא </w:t>
      </w:r>
      <w:r>
        <w:rPr>
          <w:rFonts w:ascii="Arial" w:hAnsi="Arial" w:hint="cs"/>
          <w:noProof w:val="0"/>
          <w:sz w:val="26"/>
          <w:szCs w:val="26"/>
          <w:rtl/>
        </w:rPr>
        <w:t xml:space="preserve">שימוש במונח "תושב חוזר ותיק" שכבר היה קיים בפקודה). אם כן, כיצד ניתן לומר </w:t>
      </w:r>
      <w:r w:rsidRPr="00BF6895">
        <w:rPr>
          <w:rFonts w:ascii="Arial" w:hAnsi="Arial" w:hint="cs"/>
          <w:b/>
          <w:bCs/>
          <w:noProof w:val="0"/>
          <w:sz w:val="26"/>
          <w:szCs w:val="26"/>
          <w:rtl/>
        </w:rPr>
        <w:t>שתיקון מס' 168</w:t>
      </w:r>
      <w:r>
        <w:rPr>
          <w:rFonts w:ascii="Arial" w:hAnsi="Arial" w:hint="cs"/>
          <w:noProof w:val="0"/>
          <w:sz w:val="26"/>
          <w:szCs w:val="26"/>
          <w:rtl/>
        </w:rPr>
        <w:t xml:space="preserve"> לפקודה הביא להרחבה </w:t>
      </w:r>
      <w:r>
        <w:rPr>
          <w:rFonts w:ascii="Arial" w:hAnsi="Arial" w:hint="cs"/>
          <w:b/>
          <w:bCs/>
          <w:noProof w:val="0"/>
          <w:sz w:val="26"/>
          <w:szCs w:val="26"/>
          <w:rtl/>
        </w:rPr>
        <w:t>משתמעת</w:t>
      </w:r>
      <w:r>
        <w:rPr>
          <w:rFonts w:ascii="Arial" w:hAnsi="Arial" w:hint="cs"/>
          <w:noProof w:val="0"/>
          <w:sz w:val="26"/>
          <w:szCs w:val="26"/>
          <w:rtl/>
        </w:rPr>
        <w:t xml:space="preserve"> של המונח "עולה"</w:t>
      </w:r>
      <w:r w:rsidR="0060361B">
        <w:rPr>
          <w:rFonts w:ascii="Arial" w:hAnsi="Arial" w:hint="cs"/>
          <w:noProof w:val="0"/>
          <w:sz w:val="26"/>
          <w:szCs w:val="26"/>
          <w:rtl/>
        </w:rPr>
        <w:t xml:space="preserve"> שבתקנה 12 לתקנות מס הרכישה, כך שהמונח יחול, באופן קבע וללא כל שינוי בנוסחו, גם על "תושב חוזר ותיק"? לטעמי, תולדות החקיקה אינן תומכות במסקנה זו אלא להיפך. </w:t>
      </w:r>
    </w:p>
    <w:p w:rsidR="0060361B" w:rsidRDefault="0060361B" w:rsidP="00E80A35">
      <w:pPr>
        <w:pStyle w:val="ad"/>
        <w:spacing w:line="360" w:lineRule="auto"/>
        <w:ind w:left="587"/>
        <w:jc w:val="both"/>
        <w:rPr>
          <w:rFonts w:ascii="Arial" w:hAnsi="Arial"/>
          <w:noProof w:val="0"/>
          <w:sz w:val="26"/>
          <w:szCs w:val="26"/>
          <w:rtl/>
        </w:rPr>
      </w:pPr>
    </w:p>
    <w:p w:rsidR="00C37BD5" w:rsidRDefault="00CE438B" w:rsidP="00BF6895">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יתרה מזו, </w:t>
      </w:r>
      <w:r w:rsidR="00BE15BA" w:rsidRPr="005C7455">
        <w:rPr>
          <w:rFonts w:ascii="Arial" w:hAnsi="Arial" w:hint="cs"/>
          <w:noProof w:val="0"/>
          <w:sz w:val="26"/>
          <w:szCs w:val="26"/>
          <w:rtl/>
        </w:rPr>
        <w:t xml:space="preserve">בדברי ההסבר לתיקון </w:t>
      </w:r>
      <w:r w:rsidR="00BF6895">
        <w:rPr>
          <w:rFonts w:ascii="Arial" w:hAnsi="Arial" w:hint="cs"/>
          <w:noProof w:val="0"/>
          <w:sz w:val="26"/>
          <w:szCs w:val="26"/>
          <w:rtl/>
        </w:rPr>
        <w:t xml:space="preserve">מס' 181 לפקודה (הצעות חוק הממשלה </w:t>
      </w:r>
      <w:r>
        <w:rPr>
          <w:rFonts w:ascii="Arial" w:hAnsi="Arial" w:hint="cs"/>
          <w:noProof w:val="0"/>
          <w:sz w:val="26"/>
          <w:szCs w:val="26"/>
          <w:rtl/>
        </w:rPr>
        <w:t>544, מיום 8.11.2010, בעמוד 276),</w:t>
      </w:r>
      <w:r w:rsidR="00BE15BA" w:rsidRPr="005C7455">
        <w:rPr>
          <w:rFonts w:ascii="Arial" w:hAnsi="Arial" w:hint="cs"/>
          <w:noProof w:val="0"/>
          <w:sz w:val="26"/>
          <w:szCs w:val="26"/>
          <w:rtl/>
        </w:rPr>
        <w:t xml:space="preserve"> הוסבר כי </w:t>
      </w:r>
      <w:r w:rsidR="005C7455" w:rsidRPr="005C7455">
        <w:rPr>
          <w:rFonts w:ascii="Arial" w:hAnsi="Arial" w:hint="cs"/>
          <w:b/>
          <w:bCs/>
          <w:noProof w:val="0"/>
          <w:sz w:val="26"/>
          <w:szCs w:val="26"/>
          <w:rtl/>
        </w:rPr>
        <w:t>"ביום ג' בסיוון התש"ע (16 במאי 2010) קיבלה הממשלה החלטה שכותרתה 'הגברת חזרתם של תושבים חוזרים אר</w:t>
      </w:r>
      <w:r w:rsidR="005C7455">
        <w:rPr>
          <w:rFonts w:ascii="Arial" w:hAnsi="Arial" w:hint="cs"/>
          <w:b/>
          <w:bCs/>
          <w:noProof w:val="0"/>
          <w:sz w:val="26"/>
          <w:szCs w:val="26"/>
          <w:rtl/>
        </w:rPr>
        <w:t>צ</w:t>
      </w:r>
      <w:r w:rsidR="005C7455" w:rsidRPr="005C7455">
        <w:rPr>
          <w:rFonts w:ascii="Arial" w:hAnsi="Arial" w:hint="cs"/>
          <w:b/>
          <w:bCs/>
          <w:noProof w:val="0"/>
          <w:sz w:val="26"/>
          <w:szCs w:val="26"/>
          <w:rtl/>
        </w:rPr>
        <w:t>ה' (החלטה מס' 1687), ולפיה, בין השאר, מוצע, להשוות את מעמדו של תושב חוזר... שחזר והיה לתושב ישראל בתקופה שמיום ג' בסיוון התש"ע (16 במאי 2010) עד יום י"ד בתשרי התע"ג (30 בספטמבר 2012), למעמדו של עולה חדש, לעניין הזכאות לנקודות הזיכוי לפי הפקודה."</w:t>
      </w:r>
      <w:r w:rsidR="00BE15BA" w:rsidRPr="005C7455">
        <w:rPr>
          <w:rFonts w:ascii="Arial" w:hAnsi="Arial" w:hint="cs"/>
          <w:noProof w:val="0"/>
          <w:sz w:val="26"/>
          <w:szCs w:val="26"/>
          <w:rtl/>
        </w:rPr>
        <w:t xml:space="preserve"> </w:t>
      </w:r>
    </w:p>
    <w:p w:rsidR="00C37BD5" w:rsidRDefault="00C37BD5" w:rsidP="00C37BD5">
      <w:pPr>
        <w:pStyle w:val="ad"/>
        <w:spacing w:line="360" w:lineRule="auto"/>
        <w:ind w:left="587"/>
        <w:jc w:val="both"/>
        <w:rPr>
          <w:rFonts w:ascii="Arial" w:hAnsi="Arial"/>
          <w:noProof w:val="0"/>
          <w:sz w:val="26"/>
          <w:szCs w:val="26"/>
          <w:rtl/>
        </w:rPr>
      </w:pPr>
    </w:p>
    <w:p w:rsidR="00BE15BA" w:rsidRDefault="00BE15BA" w:rsidP="00C37BD5">
      <w:pPr>
        <w:pStyle w:val="ad"/>
        <w:spacing w:line="360" w:lineRule="auto"/>
        <w:ind w:left="587"/>
        <w:jc w:val="both"/>
        <w:rPr>
          <w:rFonts w:ascii="Arial" w:hAnsi="Arial"/>
          <w:noProof w:val="0"/>
          <w:sz w:val="26"/>
          <w:szCs w:val="26"/>
          <w:rtl/>
        </w:rPr>
      </w:pPr>
      <w:r w:rsidRPr="005C7455">
        <w:rPr>
          <w:rFonts w:ascii="Arial" w:hAnsi="Arial" w:hint="cs"/>
          <w:noProof w:val="0"/>
          <w:sz w:val="26"/>
          <w:szCs w:val="26"/>
          <w:rtl/>
        </w:rPr>
        <w:t xml:space="preserve">יצויין כי בהחלטת ממשלה ה- 32 מס' 1687 מיום 16.5.2010 הוחלט </w:t>
      </w:r>
      <w:r w:rsidRPr="005C7455">
        <w:rPr>
          <w:rFonts w:ascii="Arial" w:hAnsi="Arial" w:hint="cs"/>
          <w:b/>
          <w:bCs/>
          <w:noProof w:val="0"/>
          <w:sz w:val="26"/>
          <w:szCs w:val="26"/>
          <w:rtl/>
        </w:rPr>
        <w:t>"לפעול להח</w:t>
      </w:r>
      <w:r w:rsidRPr="00F606F9">
        <w:rPr>
          <w:rFonts w:ascii="Arial" w:hAnsi="Arial" w:hint="cs"/>
          <w:b/>
          <w:bCs/>
          <w:noProof w:val="0"/>
          <w:sz w:val="26"/>
          <w:szCs w:val="26"/>
          <w:rtl/>
        </w:rPr>
        <w:t>זרתם ארצה מידי שנה של 15,000 אזרחי ישראל השוהים דרך קבע בתפוצות... החל מינואר 2011"</w:t>
      </w:r>
      <w:r>
        <w:rPr>
          <w:rFonts w:ascii="Arial" w:hAnsi="Arial" w:hint="cs"/>
          <w:noProof w:val="0"/>
          <w:sz w:val="26"/>
          <w:szCs w:val="26"/>
          <w:rtl/>
        </w:rPr>
        <w:t>.</w:t>
      </w:r>
      <w:r>
        <w:rPr>
          <w:rStyle w:val="af0"/>
          <w:rFonts w:ascii="Arial" w:hAnsi="Arial"/>
          <w:noProof w:val="0"/>
          <w:sz w:val="26"/>
          <w:szCs w:val="26"/>
          <w:rtl/>
        </w:rPr>
        <w:footnoteReference w:id="7"/>
      </w:r>
      <w:r w:rsidR="00C37BD5">
        <w:rPr>
          <w:rFonts w:ascii="Arial" w:hAnsi="Arial" w:hint="cs"/>
          <w:noProof w:val="0"/>
          <w:sz w:val="26"/>
          <w:szCs w:val="26"/>
          <w:rtl/>
        </w:rPr>
        <w:t xml:space="preserve"> </w:t>
      </w:r>
      <w:r>
        <w:rPr>
          <w:rFonts w:ascii="Arial" w:hAnsi="Arial" w:hint="cs"/>
          <w:noProof w:val="0"/>
          <w:sz w:val="26"/>
          <w:szCs w:val="26"/>
          <w:rtl/>
        </w:rPr>
        <w:t>בהמשך המסמך, הוחלט על שורה ארו</w:t>
      </w:r>
      <w:r w:rsidR="00F606F9">
        <w:rPr>
          <w:rFonts w:ascii="Arial" w:hAnsi="Arial" w:hint="cs"/>
          <w:noProof w:val="0"/>
          <w:sz w:val="26"/>
          <w:szCs w:val="26"/>
          <w:rtl/>
        </w:rPr>
        <w:t>כה של צעדים ספציפיים אשר יינקטו על מ</w:t>
      </w:r>
      <w:r w:rsidR="00C37BD5">
        <w:rPr>
          <w:rFonts w:ascii="Arial" w:hAnsi="Arial" w:hint="cs"/>
          <w:noProof w:val="0"/>
          <w:sz w:val="26"/>
          <w:szCs w:val="26"/>
          <w:rtl/>
        </w:rPr>
        <w:t xml:space="preserve">נת לעודד את החזרת האזרחים, </w:t>
      </w:r>
      <w:r w:rsidR="00B0080C">
        <w:rPr>
          <w:rFonts w:ascii="Arial" w:hAnsi="Arial" w:hint="cs"/>
          <w:noProof w:val="0"/>
          <w:sz w:val="26"/>
          <w:szCs w:val="26"/>
          <w:rtl/>
        </w:rPr>
        <w:t xml:space="preserve">וזאת </w:t>
      </w:r>
      <w:r w:rsidR="00C37BD5">
        <w:rPr>
          <w:rFonts w:ascii="Arial" w:hAnsi="Arial" w:hint="cs"/>
          <w:noProof w:val="0"/>
          <w:sz w:val="26"/>
          <w:szCs w:val="26"/>
          <w:rtl/>
        </w:rPr>
        <w:t>בתחומי</w:t>
      </w:r>
      <w:r w:rsidR="00F606F9">
        <w:rPr>
          <w:rFonts w:ascii="Arial" w:hAnsi="Arial" w:hint="cs"/>
          <w:noProof w:val="0"/>
          <w:sz w:val="26"/>
          <w:szCs w:val="26"/>
          <w:rtl/>
        </w:rPr>
        <w:t xml:space="preserve"> המיסוי (לרב</w:t>
      </w:r>
      <w:r w:rsidR="00C37BD5">
        <w:rPr>
          <w:rFonts w:ascii="Arial" w:hAnsi="Arial" w:hint="cs"/>
          <w:noProof w:val="0"/>
          <w:sz w:val="26"/>
          <w:szCs w:val="26"/>
          <w:rtl/>
        </w:rPr>
        <w:t xml:space="preserve">ות המכס), ביטוח </w:t>
      </w:r>
      <w:r w:rsidR="00CE438B">
        <w:rPr>
          <w:rFonts w:ascii="Arial" w:hAnsi="Arial" w:hint="cs"/>
          <w:noProof w:val="0"/>
          <w:sz w:val="26"/>
          <w:szCs w:val="26"/>
          <w:rtl/>
        </w:rPr>
        <w:t>ה</w:t>
      </w:r>
      <w:r w:rsidR="00C37BD5">
        <w:rPr>
          <w:rFonts w:ascii="Arial" w:hAnsi="Arial" w:hint="cs"/>
          <w:noProof w:val="0"/>
          <w:sz w:val="26"/>
          <w:szCs w:val="26"/>
          <w:rtl/>
        </w:rPr>
        <w:t xml:space="preserve">בריאות, </w:t>
      </w:r>
      <w:r w:rsidR="00CE438B">
        <w:rPr>
          <w:rFonts w:ascii="Arial" w:hAnsi="Arial" w:hint="cs"/>
          <w:noProof w:val="0"/>
          <w:sz w:val="26"/>
          <w:szCs w:val="26"/>
          <w:rtl/>
        </w:rPr>
        <w:t>ה</w:t>
      </w:r>
      <w:r w:rsidR="00C37BD5">
        <w:rPr>
          <w:rFonts w:ascii="Arial" w:hAnsi="Arial" w:hint="cs"/>
          <w:noProof w:val="0"/>
          <w:sz w:val="26"/>
          <w:szCs w:val="26"/>
          <w:rtl/>
        </w:rPr>
        <w:t>חינוך, התעסוקה והיזמות. לא הוחלט</w:t>
      </w:r>
      <w:r w:rsidR="00F606F9">
        <w:rPr>
          <w:rFonts w:ascii="Arial" w:hAnsi="Arial" w:hint="cs"/>
          <w:noProof w:val="0"/>
          <w:sz w:val="26"/>
          <w:szCs w:val="26"/>
          <w:rtl/>
        </w:rPr>
        <w:t xml:space="preserve"> באותה הזדמנות להרחיב את תחו</w:t>
      </w:r>
      <w:r w:rsidR="00C37BD5">
        <w:rPr>
          <w:rFonts w:ascii="Arial" w:hAnsi="Arial" w:hint="cs"/>
          <w:noProof w:val="0"/>
          <w:sz w:val="26"/>
          <w:szCs w:val="26"/>
          <w:rtl/>
        </w:rPr>
        <w:t>לתה של תקנה 12 לתקנ</w:t>
      </w:r>
      <w:r w:rsidR="00CE438B">
        <w:rPr>
          <w:rFonts w:ascii="Arial" w:hAnsi="Arial" w:hint="cs"/>
          <w:noProof w:val="0"/>
          <w:sz w:val="26"/>
          <w:szCs w:val="26"/>
          <w:rtl/>
        </w:rPr>
        <w:t>ו</w:t>
      </w:r>
      <w:r w:rsidR="00C37BD5">
        <w:rPr>
          <w:rFonts w:ascii="Arial" w:hAnsi="Arial" w:hint="cs"/>
          <w:noProof w:val="0"/>
          <w:sz w:val="26"/>
          <w:szCs w:val="26"/>
          <w:rtl/>
        </w:rPr>
        <w:t>ת מס הרכישה.</w:t>
      </w:r>
    </w:p>
    <w:p w:rsidR="00F606F9" w:rsidRDefault="00F606F9" w:rsidP="00E80A35">
      <w:pPr>
        <w:pStyle w:val="ad"/>
        <w:spacing w:line="360" w:lineRule="auto"/>
        <w:ind w:left="587"/>
        <w:jc w:val="both"/>
        <w:rPr>
          <w:rFonts w:ascii="Arial" w:hAnsi="Arial"/>
          <w:noProof w:val="0"/>
          <w:sz w:val="26"/>
          <w:szCs w:val="26"/>
          <w:rtl/>
        </w:rPr>
      </w:pPr>
    </w:p>
    <w:p w:rsidR="00F606F9" w:rsidRPr="00F606F9" w:rsidRDefault="00C01F9C" w:rsidP="00E80A35">
      <w:pPr>
        <w:pStyle w:val="ad"/>
        <w:spacing w:line="360" w:lineRule="auto"/>
        <w:ind w:left="587"/>
        <w:jc w:val="both"/>
        <w:rPr>
          <w:rFonts w:ascii="Arial" w:hAnsi="Arial"/>
          <w:b/>
          <w:bCs/>
          <w:noProof w:val="0"/>
          <w:sz w:val="26"/>
          <w:szCs w:val="26"/>
          <w:u w:val="single"/>
          <w:rtl/>
        </w:rPr>
      </w:pPr>
      <w:r>
        <w:rPr>
          <w:rFonts w:ascii="Arial" w:hAnsi="Arial" w:hint="cs"/>
          <w:b/>
          <w:bCs/>
          <w:noProof w:val="0"/>
          <w:sz w:val="26"/>
          <w:szCs w:val="26"/>
          <w:u w:val="single"/>
          <w:rtl/>
        </w:rPr>
        <w:t>השינוי שנערך בסעיף 9</w:t>
      </w:r>
      <w:r w:rsidR="00F606F9">
        <w:rPr>
          <w:rFonts w:ascii="Arial" w:hAnsi="Arial" w:hint="cs"/>
          <w:b/>
          <w:bCs/>
          <w:noProof w:val="0"/>
          <w:sz w:val="26"/>
          <w:szCs w:val="26"/>
          <w:u w:val="single"/>
          <w:rtl/>
        </w:rPr>
        <w:t>(ג1ג) לחוק מיסוי מקרקעין</w:t>
      </w:r>
    </w:p>
    <w:p w:rsidR="00E80A35" w:rsidRDefault="00F606F9" w:rsidP="00D42F5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סעיף 9(ג1ג) לחוק מיסוי מקרקעין עוסק בהטלת מס רכישה על רכישת זכויות בדירת מגורים מיום 1.8.2013 ואילך. סעיף קטן זה נחקק כחלק מתיקון מס' 76 לחוק מיסוי מקרקעין בשנת 2013 (ראו ס"ח 2405, מיום 5.8.2013,</w:t>
      </w:r>
      <w:r w:rsidR="00C01F9C">
        <w:rPr>
          <w:rFonts w:ascii="Arial" w:hAnsi="Arial" w:hint="cs"/>
          <w:noProof w:val="0"/>
          <w:sz w:val="26"/>
          <w:szCs w:val="26"/>
          <w:rtl/>
        </w:rPr>
        <w:t xml:space="preserve"> עמוד 155 ואילך). בהתאם לסעיף 9</w:t>
      </w:r>
      <w:r>
        <w:rPr>
          <w:rFonts w:ascii="Arial" w:hAnsi="Arial" w:hint="cs"/>
          <w:noProof w:val="0"/>
          <w:sz w:val="26"/>
          <w:szCs w:val="26"/>
          <w:rtl/>
        </w:rPr>
        <w:t>(ג1ג)</w:t>
      </w:r>
      <w:r w:rsidR="00C01F9C">
        <w:rPr>
          <w:rFonts w:ascii="Arial" w:hAnsi="Arial" w:hint="cs"/>
          <w:noProof w:val="0"/>
          <w:sz w:val="26"/>
          <w:szCs w:val="26"/>
          <w:rtl/>
        </w:rPr>
        <w:t>(</w:t>
      </w:r>
      <w:r>
        <w:rPr>
          <w:rFonts w:ascii="Arial" w:hAnsi="Arial" w:hint="cs"/>
          <w:noProof w:val="0"/>
          <w:sz w:val="26"/>
          <w:szCs w:val="26"/>
          <w:rtl/>
        </w:rPr>
        <w:t>2</w:t>
      </w:r>
      <w:r w:rsidR="00C01F9C">
        <w:rPr>
          <w:rFonts w:ascii="Arial" w:hAnsi="Arial" w:hint="cs"/>
          <w:noProof w:val="0"/>
          <w:sz w:val="26"/>
          <w:szCs w:val="26"/>
          <w:rtl/>
        </w:rPr>
        <w:t>)</w:t>
      </w:r>
      <w:r>
        <w:rPr>
          <w:rFonts w:ascii="Arial" w:hAnsi="Arial" w:hint="cs"/>
          <w:noProof w:val="0"/>
          <w:sz w:val="26"/>
          <w:szCs w:val="26"/>
          <w:rtl/>
        </w:rPr>
        <w:t>, ניתנת הקלה בשיעור מס רכישה ל</w:t>
      </w:r>
      <w:r w:rsidRPr="00C01F9C">
        <w:rPr>
          <w:rFonts w:ascii="Arial" w:hAnsi="Arial" w:hint="cs"/>
          <w:b/>
          <w:bCs/>
          <w:noProof w:val="0"/>
          <w:sz w:val="26"/>
          <w:szCs w:val="26"/>
          <w:rtl/>
        </w:rPr>
        <w:t>"יחיד תושב ישראל"</w:t>
      </w:r>
      <w:r>
        <w:rPr>
          <w:rFonts w:ascii="Arial" w:hAnsi="Arial" w:hint="cs"/>
          <w:noProof w:val="0"/>
          <w:sz w:val="26"/>
          <w:szCs w:val="26"/>
          <w:rtl/>
        </w:rPr>
        <w:t xml:space="preserve"> אשר רוכש </w:t>
      </w:r>
      <w:r w:rsidRPr="00C01F9C">
        <w:rPr>
          <w:rFonts w:ascii="Arial" w:hAnsi="Arial" w:hint="cs"/>
          <w:b/>
          <w:bCs/>
          <w:noProof w:val="0"/>
          <w:sz w:val="26"/>
          <w:szCs w:val="26"/>
          <w:rtl/>
        </w:rPr>
        <w:t>"דירה יחידה"</w:t>
      </w:r>
      <w:r>
        <w:rPr>
          <w:rFonts w:ascii="Arial" w:hAnsi="Arial" w:hint="cs"/>
          <w:noProof w:val="0"/>
          <w:sz w:val="26"/>
          <w:szCs w:val="26"/>
          <w:rtl/>
        </w:rPr>
        <w:t>. בפסקת משנה 9(ג1ג)(4)(ב)</w:t>
      </w:r>
      <w:r w:rsidR="00C01F9C">
        <w:rPr>
          <w:rFonts w:ascii="Arial" w:hAnsi="Arial" w:hint="cs"/>
          <w:noProof w:val="0"/>
          <w:sz w:val="26"/>
          <w:szCs w:val="26"/>
          <w:rtl/>
        </w:rPr>
        <w:t>,</w:t>
      </w:r>
      <w:r>
        <w:rPr>
          <w:rFonts w:ascii="Arial" w:hAnsi="Arial" w:hint="cs"/>
          <w:noProof w:val="0"/>
          <w:sz w:val="26"/>
          <w:szCs w:val="26"/>
          <w:rtl/>
        </w:rPr>
        <w:t xml:space="preserve"> הפותחת במילים </w:t>
      </w:r>
      <w:r>
        <w:rPr>
          <w:rFonts w:ascii="Arial" w:hAnsi="Arial" w:hint="cs"/>
          <w:b/>
          <w:bCs/>
          <w:noProof w:val="0"/>
          <w:sz w:val="26"/>
          <w:szCs w:val="26"/>
          <w:rtl/>
        </w:rPr>
        <w:t>"בסעיף קטן זה"</w:t>
      </w:r>
      <w:r>
        <w:rPr>
          <w:rFonts w:ascii="Arial" w:hAnsi="Arial" w:hint="cs"/>
          <w:noProof w:val="0"/>
          <w:sz w:val="26"/>
          <w:szCs w:val="26"/>
          <w:rtl/>
        </w:rPr>
        <w:t xml:space="preserve">, מוגדר המונח "תושב ישראל" באופן מיוחד: </w:t>
      </w:r>
    </w:p>
    <w:p w:rsidR="002C7951" w:rsidRDefault="002C7951" w:rsidP="00EF30C9">
      <w:pPr>
        <w:pStyle w:val="p01"/>
        <w:bidi/>
        <w:spacing w:before="72" w:beforeAutospacing="0" w:after="0" w:afterAutospacing="0" w:line="360" w:lineRule="auto"/>
        <w:ind w:left="1758" w:right="567" w:hanging="624"/>
        <w:jc w:val="both"/>
        <w:rPr>
          <w:rFonts w:ascii="David" w:hAnsi="David" w:cs="David"/>
          <w:b/>
          <w:bCs/>
          <w:color w:val="000000"/>
          <w:sz w:val="26"/>
          <w:szCs w:val="26"/>
          <w:rtl/>
        </w:rPr>
      </w:pPr>
    </w:p>
    <w:p w:rsidR="00EF30C9" w:rsidRDefault="00EF30C9" w:rsidP="002C7951">
      <w:pPr>
        <w:pStyle w:val="p01"/>
        <w:bidi/>
        <w:spacing w:before="72" w:beforeAutospacing="0" w:after="0" w:afterAutospacing="0" w:line="360" w:lineRule="auto"/>
        <w:ind w:left="1758" w:right="567" w:hanging="624"/>
        <w:jc w:val="both"/>
        <w:rPr>
          <w:rFonts w:ascii="David" w:hAnsi="David" w:cs="David"/>
          <w:b/>
          <w:bCs/>
          <w:color w:val="000000"/>
          <w:sz w:val="26"/>
          <w:szCs w:val="26"/>
          <w:rtl/>
        </w:rPr>
      </w:pPr>
      <w:r>
        <w:rPr>
          <w:rFonts w:ascii="David" w:hAnsi="David" w:cs="David" w:hint="cs"/>
          <w:b/>
          <w:bCs/>
          <w:color w:val="000000"/>
          <w:sz w:val="26"/>
          <w:szCs w:val="26"/>
          <w:rtl/>
        </w:rPr>
        <w:t>"</w:t>
      </w:r>
      <w:r w:rsidRPr="00EF30C9">
        <w:rPr>
          <w:rFonts w:ascii="David" w:hAnsi="David" w:cs="David"/>
          <w:b/>
          <w:bCs/>
          <w:color w:val="000000"/>
          <w:sz w:val="26"/>
          <w:szCs w:val="26"/>
        </w:rPr>
        <w:t>'</w:t>
      </w:r>
      <w:r w:rsidRPr="00EF30C9">
        <w:rPr>
          <w:rFonts w:ascii="David" w:hAnsi="David" w:cs="David"/>
          <w:b/>
          <w:bCs/>
          <w:color w:val="000000"/>
          <w:sz w:val="26"/>
          <w:szCs w:val="26"/>
          <w:rtl/>
        </w:rPr>
        <w:t xml:space="preserve">תושב ישראל' – לרבות מי שבתוך שנתיים מיום רכישת הדירה היה </w:t>
      </w:r>
    </w:p>
    <w:p w:rsidR="00EF30C9" w:rsidRDefault="00EF30C9" w:rsidP="00EF30C9">
      <w:pPr>
        <w:pStyle w:val="p01"/>
        <w:bidi/>
        <w:spacing w:before="72" w:beforeAutospacing="0" w:after="0" w:afterAutospacing="0" w:line="360" w:lineRule="auto"/>
        <w:ind w:left="1758" w:right="567" w:hanging="624"/>
        <w:jc w:val="both"/>
        <w:rPr>
          <w:rFonts w:ascii="David" w:hAnsi="David" w:cs="David"/>
          <w:b/>
          <w:bCs/>
          <w:color w:val="000000"/>
          <w:sz w:val="26"/>
          <w:szCs w:val="26"/>
          <w:rtl/>
        </w:rPr>
      </w:pPr>
      <w:r w:rsidRPr="00EF30C9">
        <w:rPr>
          <w:rFonts w:ascii="David" w:hAnsi="David" w:cs="David"/>
          <w:b/>
          <w:bCs/>
          <w:color w:val="000000"/>
          <w:sz w:val="26"/>
          <w:szCs w:val="26"/>
          <w:rtl/>
        </w:rPr>
        <w:t>לתושב</w:t>
      </w:r>
      <w:r>
        <w:rPr>
          <w:rFonts w:ascii="David" w:hAnsi="David" w:cs="David" w:hint="cs"/>
          <w:b/>
          <w:bCs/>
          <w:color w:val="000000"/>
          <w:sz w:val="26"/>
          <w:szCs w:val="26"/>
          <w:rtl/>
        </w:rPr>
        <w:t xml:space="preserve"> </w:t>
      </w:r>
      <w:r w:rsidRPr="00EF30C9">
        <w:rPr>
          <w:rFonts w:ascii="David" w:hAnsi="David" w:cs="David"/>
          <w:b/>
          <w:bCs/>
          <w:color w:val="000000"/>
          <w:sz w:val="26"/>
          <w:szCs w:val="26"/>
          <w:rtl/>
        </w:rPr>
        <w:t xml:space="preserve">ישראל לראשונה או לתושב חוזר ותיק, כמשמעותם בסעיף </w:t>
      </w:r>
    </w:p>
    <w:p w:rsidR="00EF30C9" w:rsidRPr="00EF30C9" w:rsidRDefault="00EF30C9" w:rsidP="00EF30C9">
      <w:pPr>
        <w:pStyle w:val="p01"/>
        <w:bidi/>
        <w:spacing w:before="72" w:beforeAutospacing="0" w:after="0" w:afterAutospacing="0" w:line="360" w:lineRule="auto"/>
        <w:ind w:left="1758" w:right="567" w:hanging="624"/>
        <w:jc w:val="both"/>
        <w:rPr>
          <w:rFonts w:ascii="David" w:hAnsi="David" w:cs="David"/>
          <w:b/>
          <w:bCs/>
          <w:color w:val="000000"/>
          <w:sz w:val="20"/>
          <w:szCs w:val="20"/>
        </w:rPr>
      </w:pPr>
      <w:r w:rsidRPr="00EF30C9">
        <w:rPr>
          <w:rFonts w:ascii="David" w:hAnsi="David" w:cs="David"/>
          <w:b/>
          <w:bCs/>
          <w:color w:val="000000"/>
          <w:sz w:val="26"/>
          <w:szCs w:val="26"/>
          <w:rtl/>
        </w:rPr>
        <w:t>14(א) לפקודה</w:t>
      </w:r>
      <w:r w:rsidRPr="00EF30C9">
        <w:rPr>
          <w:rFonts w:ascii="David" w:hAnsi="David" w:cs="David"/>
          <w:b/>
          <w:bCs/>
          <w:color w:val="000000"/>
          <w:sz w:val="26"/>
          <w:szCs w:val="26"/>
        </w:rPr>
        <w:t>;</w:t>
      </w:r>
      <w:r>
        <w:rPr>
          <w:rFonts w:ascii="David" w:hAnsi="David" w:cs="David" w:hint="cs"/>
          <w:b/>
          <w:bCs/>
          <w:color w:val="000000"/>
          <w:sz w:val="26"/>
          <w:szCs w:val="26"/>
          <w:rtl/>
        </w:rPr>
        <w:t>"</w:t>
      </w:r>
    </w:p>
    <w:p w:rsidR="00EF30C9" w:rsidRPr="00EF30C9" w:rsidRDefault="00EF30C9" w:rsidP="00E03676">
      <w:pPr>
        <w:pStyle w:val="ad"/>
        <w:spacing w:line="360" w:lineRule="auto"/>
        <w:ind w:left="587"/>
        <w:jc w:val="both"/>
        <w:rPr>
          <w:rFonts w:ascii="Arial" w:hAnsi="Arial"/>
          <w:noProof w:val="0"/>
          <w:sz w:val="26"/>
          <w:szCs w:val="26"/>
          <w:highlight w:val="yellow"/>
          <w:rtl/>
        </w:rPr>
      </w:pPr>
    </w:p>
    <w:p w:rsidR="00E03676" w:rsidRDefault="00E03676" w:rsidP="00912B4D">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יוער כי סעיף 1 חוק מיסוי מקרקעין מגדיר את </w:t>
      </w:r>
      <w:r w:rsidR="00912B4D">
        <w:rPr>
          <w:rFonts w:ascii="Arial" w:hAnsi="Arial" w:hint="cs"/>
          <w:noProof w:val="0"/>
          <w:sz w:val="26"/>
          <w:szCs w:val="26"/>
          <w:rtl/>
        </w:rPr>
        <w:t>המונח</w:t>
      </w:r>
      <w:r>
        <w:rPr>
          <w:rFonts w:ascii="Arial" w:hAnsi="Arial" w:hint="cs"/>
          <w:noProof w:val="0"/>
          <w:sz w:val="26"/>
          <w:szCs w:val="26"/>
          <w:rtl/>
        </w:rPr>
        <w:t xml:space="preserve"> "תושב ישראל</w:t>
      </w:r>
      <w:r w:rsidR="00912B4D">
        <w:rPr>
          <w:rFonts w:ascii="Arial" w:hAnsi="Arial" w:hint="cs"/>
          <w:noProof w:val="0"/>
          <w:sz w:val="26"/>
          <w:szCs w:val="26"/>
          <w:rtl/>
        </w:rPr>
        <w:t>"</w:t>
      </w:r>
      <w:r>
        <w:rPr>
          <w:rFonts w:ascii="Arial" w:hAnsi="Arial" w:hint="cs"/>
          <w:noProof w:val="0"/>
          <w:sz w:val="26"/>
          <w:szCs w:val="26"/>
          <w:rtl/>
        </w:rPr>
        <w:t xml:space="preserve"> באופן כללי </w:t>
      </w:r>
      <w:r w:rsidRPr="00E03676">
        <w:rPr>
          <w:rFonts w:ascii="Arial" w:hAnsi="Arial" w:hint="cs"/>
          <w:noProof w:val="0"/>
          <w:sz w:val="26"/>
          <w:szCs w:val="26"/>
          <w:rtl/>
        </w:rPr>
        <w:t>(</w:t>
      </w:r>
      <w:r w:rsidR="00912B4D">
        <w:rPr>
          <w:rFonts w:ascii="Arial" w:hAnsi="Arial" w:hint="cs"/>
          <w:noProof w:val="0"/>
          <w:sz w:val="26"/>
          <w:szCs w:val="26"/>
          <w:rtl/>
        </w:rPr>
        <w:t>"</w:t>
      </w:r>
      <w:r w:rsidR="00912B4D">
        <w:rPr>
          <w:rFonts w:ascii="Arial" w:hAnsi="Arial" w:hint="cs"/>
          <w:b/>
          <w:bCs/>
          <w:noProof w:val="0"/>
          <w:sz w:val="26"/>
          <w:szCs w:val="26"/>
          <w:rtl/>
        </w:rPr>
        <w:t>בחוק זה -</w:t>
      </w:r>
      <w:r>
        <w:rPr>
          <w:rFonts w:ascii="Arial" w:hAnsi="Arial" w:hint="cs"/>
          <w:b/>
          <w:bCs/>
          <w:noProof w:val="0"/>
          <w:sz w:val="26"/>
          <w:szCs w:val="26"/>
          <w:rtl/>
        </w:rPr>
        <w:t>"</w:t>
      </w:r>
      <w:r>
        <w:rPr>
          <w:rFonts w:ascii="Arial" w:hAnsi="Arial" w:hint="cs"/>
          <w:noProof w:val="0"/>
          <w:sz w:val="26"/>
          <w:szCs w:val="26"/>
          <w:rtl/>
        </w:rPr>
        <w:t>)</w:t>
      </w:r>
      <w:r w:rsidR="00912B4D" w:rsidRPr="00912B4D">
        <w:rPr>
          <w:rFonts w:ascii="Arial" w:hAnsi="Arial" w:hint="cs"/>
          <w:noProof w:val="0"/>
          <w:sz w:val="26"/>
          <w:szCs w:val="26"/>
          <w:rtl/>
        </w:rPr>
        <w:t>,</w:t>
      </w:r>
      <w:r>
        <w:rPr>
          <w:rFonts w:ascii="Arial" w:hAnsi="Arial" w:hint="cs"/>
          <w:noProof w:val="0"/>
          <w:sz w:val="26"/>
          <w:szCs w:val="26"/>
          <w:rtl/>
        </w:rPr>
        <w:t xml:space="preserve"> לאמור: </w:t>
      </w:r>
      <w:r>
        <w:rPr>
          <w:rFonts w:ascii="Arial" w:hAnsi="Arial" w:hint="cs"/>
          <w:b/>
          <w:bCs/>
          <w:noProof w:val="0"/>
          <w:sz w:val="26"/>
          <w:szCs w:val="26"/>
          <w:rtl/>
        </w:rPr>
        <w:t>"כהגדרתו בסעיף 1 לפקודה..."</w:t>
      </w:r>
      <w:r>
        <w:rPr>
          <w:rFonts w:ascii="Arial" w:hAnsi="Arial" w:hint="cs"/>
          <w:noProof w:val="0"/>
          <w:sz w:val="26"/>
          <w:szCs w:val="26"/>
          <w:rtl/>
        </w:rPr>
        <w:t xml:space="preserve">. </w:t>
      </w:r>
    </w:p>
    <w:p w:rsidR="00E03676" w:rsidRDefault="00E03676" w:rsidP="00E03676">
      <w:pPr>
        <w:pStyle w:val="ad"/>
        <w:spacing w:line="360" w:lineRule="auto"/>
        <w:ind w:left="587"/>
        <w:jc w:val="both"/>
        <w:rPr>
          <w:rFonts w:ascii="Arial" w:hAnsi="Arial"/>
          <w:noProof w:val="0"/>
          <w:sz w:val="26"/>
          <w:szCs w:val="26"/>
          <w:rtl/>
        </w:rPr>
      </w:pPr>
    </w:p>
    <w:p w:rsidR="00E03676" w:rsidRDefault="00912B4D" w:rsidP="00E03676">
      <w:pPr>
        <w:pStyle w:val="ad"/>
        <w:spacing w:line="360" w:lineRule="auto"/>
        <w:ind w:left="587"/>
        <w:jc w:val="both"/>
        <w:rPr>
          <w:rFonts w:ascii="Arial" w:hAnsi="Arial"/>
          <w:noProof w:val="0"/>
          <w:sz w:val="26"/>
          <w:szCs w:val="26"/>
          <w:rtl/>
        </w:rPr>
      </w:pPr>
      <w:r>
        <w:rPr>
          <w:rFonts w:ascii="Arial" w:hAnsi="Arial" w:hint="cs"/>
          <w:noProof w:val="0"/>
          <w:sz w:val="26"/>
          <w:szCs w:val="26"/>
          <w:rtl/>
        </w:rPr>
        <w:t>נמצא כי ההגדרה המיוחדת שבסעיף 9</w:t>
      </w:r>
      <w:r w:rsidR="00E03676">
        <w:rPr>
          <w:rFonts w:ascii="Arial" w:hAnsi="Arial" w:hint="cs"/>
          <w:noProof w:val="0"/>
          <w:sz w:val="26"/>
          <w:szCs w:val="26"/>
          <w:rtl/>
        </w:rPr>
        <w:t>(ג1ג)(4)(ב) באה להרחיב</w:t>
      </w:r>
      <w:r w:rsidR="00C9470C">
        <w:rPr>
          <w:rFonts w:ascii="Arial" w:hAnsi="Arial" w:hint="cs"/>
          <w:noProof w:val="0"/>
          <w:sz w:val="26"/>
          <w:szCs w:val="26"/>
          <w:rtl/>
        </w:rPr>
        <w:t>, בהקשר מסוים,</w:t>
      </w:r>
      <w:r w:rsidR="00E03676">
        <w:rPr>
          <w:rFonts w:ascii="Arial" w:hAnsi="Arial" w:hint="cs"/>
          <w:noProof w:val="0"/>
          <w:sz w:val="26"/>
          <w:szCs w:val="26"/>
          <w:rtl/>
        </w:rPr>
        <w:t xml:space="preserve"> את המשמעות הכללית הקבועה בסעיף 1 לחוק. </w:t>
      </w:r>
    </w:p>
    <w:p w:rsidR="00E03676" w:rsidRPr="00E03676" w:rsidRDefault="00E03676" w:rsidP="00E03676">
      <w:pPr>
        <w:pStyle w:val="ad"/>
        <w:spacing w:line="360" w:lineRule="auto"/>
        <w:ind w:left="587"/>
        <w:jc w:val="both"/>
        <w:rPr>
          <w:rFonts w:ascii="Arial" w:hAnsi="Arial"/>
          <w:noProof w:val="0"/>
          <w:sz w:val="26"/>
          <w:szCs w:val="26"/>
        </w:rPr>
      </w:pPr>
    </w:p>
    <w:p w:rsidR="00E03676" w:rsidRDefault="00E03676" w:rsidP="00D42F5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העוררים מדגישים את תחולתו של סעיף 9 (ג1ג) גם על  תושב חוזר ותיק: הרי הסעיף דן במס רכישה, כפי שתקנה 12 הנדונה דנה במס רכישה, ויש בו אימוץ מפורש של מונחים מסעיף 14 לפקודת מס הכנסה, אותו סעיף שבו הושווה דינו של  תושב חוזר ותיק לדינו של תושב ישראל לראשונה. לדעת העוררים, חקיקת סעיף 9(ג1ג) בשנת 2013, באופן החל גם על תושב חוזר ותיק, היא המשך של אותה מגמה שהחלה עם תיקון מס</w:t>
      </w:r>
      <w:r w:rsidR="00646CDB">
        <w:rPr>
          <w:rFonts w:ascii="Arial" w:hAnsi="Arial" w:hint="cs"/>
          <w:noProof w:val="0"/>
          <w:sz w:val="26"/>
          <w:szCs w:val="26"/>
          <w:rtl/>
        </w:rPr>
        <w:t>'</w:t>
      </w:r>
      <w:r>
        <w:rPr>
          <w:rFonts w:ascii="Arial" w:hAnsi="Arial" w:hint="cs"/>
          <w:noProof w:val="0"/>
          <w:sz w:val="26"/>
          <w:szCs w:val="26"/>
          <w:rtl/>
        </w:rPr>
        <w:t xml:space="preserve"> 168 לפקודה, כחמש שנים קודם לכן, כמפורט לעיל. </w:t>
      </w:r>
    </w:p>
    <w:p w:rsidR="00E77FF6" w:rsidRPr="00912B4D" w:rsidRDefault="00E77FF6" w:rsidP="00E77FF6">
      <w:pPr>
        <w:pStyle w:val="ad"/>
        <w:spacing w:line="360" w:lineRule="auto"/>
        <w:ind w:left="587"/>
        <w:jc w:val="both"/>
        <w:rPr>
          <w:rFonts w:ascii="Arial" w:hAnsi="Arial"/>
          <w:noProof w:val="0"/>
          <w:sz w:val="26"/>
          <w:szCs w:val="26"/>
        </w:rPr>
      </w:pPr>
    </w:p>
    <w:p w:rsidR="00E03676" w:rsidRDefault="00E03676" w:rsidP="00D42F5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לא שוכנעתי כי חקיקת סעיף 9(ג1ג) אכן תומכת בעמדת העוררים. </w:t>
      </w:r>
    </w:p>
    <w:p w:rsidR="00E03676" w:rsidRDefault="00E03676" w:rsidP="00E03676">
      <w:pPr>
        <w:pStyle w:val="ad"/>
        <w:spacing w:line="360" w:lineRule="auto"/>
        <w:ind w:left="587"/>
        <w:jc w:val="both"/>
        <w:rPr>
          <w:rFonts w:ascii="Arial" w:hAnsi="Arial"/>
          <w:noProof w:val="0"/>
          <w:sz w:val="26"/>
          <w:szCs w:val="26"/>
          <w:rtl/>
        </w:rPr>
      </w:pPr>
    </w:p>
    <w:p w:rsidR="00E03676" w:rsidRDefault="00E03676" w:rsidP="00912B4D">
      <w:pPr>
        <w:pStyle w:val="ad"/>
        <w:spacing w:line="360" w:lineRule="auto"/>
        <w:ind w:left="587"/>
        <w:jc w:val="both"/>
        <w:rPr>
          <w:rFonts w:ascii="Arial" w:hAnsi="Arial"/>
          <w:noProof w:val="0"/>
          <w:sz w:val="26"/>
          <w:szCs w:val="26"/>
          <w:rtl/>
        </w:rPr>
      </w:pPr>
      <w:r>
        <w:rPr>
          <w:rFonts w:ascii="Arial" w:hAnsi="Arial" w:hint="cs"/>
          <w:noProof w:val="0"/>
          <w:sz w:val="26"/>
          <w:szCs w:val="26"/>
          <w:rtl/>
        </w:rPr>
        <w:t>כמוסבר</w:t>
      </w:r>
      <w:r w:rsidR="00912B4D">
        <w:rPr>
          <w:rFonts w:ascii="Arial" w:hAnsi="Arial" w:hint="cs"/>
          <w:noProof w:val="0"/>
          <w:sz w:val="26"/>
          <w:szCs w:val="26"/>
          <w:rtl/>
        </w:rPr>
        <w:t>,</w:t>
      </w:r>
      <w:r>
        <w:rPr>
          <w:rFonts w:ascii="Arial" w:hAnsi="Arial" w:hint="cs"/>
          <w:noProof w:val="0"/>
          <w:sz w:val="26"/>
          <w:szCs w:val="26"/>
          <w:rtl/>
        </w:rPr>
        <w:t xml:space="preserve"> ההקלה בשיעור מס הרכישה המצויה בסעיף 9(ג1ג)(2) חלה על יחיד אשר </w:t>
      </w:r>
      <w:r>
        <w:rPr>
          <w:rFonts w:ascii="Arial" w:hAnsi="Arial" w:hint="cs"/>
          <w:b/>
          <w:bCs/>
          <w:noProof w:val="0"/>
          <w:sz w:val="26"/>
          <w:szCs w:val="26"/>
          <w:rtl/>
        </w:rPr>
        <w:t>בעת</w:t>
      </w:r>
      <w:r>
        <w:rPr>
          <w:rFonts w:ascii="Arial" w:hAnsi="Arial" w:hint="cs"/>
          <w:noProof w:val="0"/>
          <w:sz w:val="26"/>
          <w:szCs w:val="26"/>
          <w:rtl/>
        </w:rPr>
        <w:t xml:space="preserve"> רכישת הדירה היחידה היה תושב ישראל. פסקת משנה 9(ג1ג)(4)(ב)</w:t>
      </w:r>
      <w:r w:rsidRPr="0069064D">
        <w:rPr>
          <w:rFonts w:ascii="Arial" w:hAnsi="Arial" w:hint="cs"/>
          <w:noProof w:val="0"/>
          <w:sz w:val="26"/>
          <w:szCs w:val="26"/>
          <w:rtl/>
        </w:rPr>
        <w:t xml:space="preserve"> באה להקל בעניין העמידה בתנאי זה </w:t>
      </w:r>
      <w:r w:rsidR="00912B4D">
        <w:rPr>
          <w:rFonts w:ascii="Arial" w:hAnsi="Arial" w:hint="cs"/>
          <w:noProof w:val="0"/>
          <w:sz w:val="26"/>
          <w:szCs w:val="26"/>
          <w:rtl/>
        </w:rPr>
        <w:t>בהיבט</w:t>
      </w:r>
      <w:r>
        <w:rPr>
          <w:rFonts w:ascii="Arial" w:hAnsi="Arial" w:hint="cs"/>
          <w:b/>
          <w:bCs/>
          <w:noProof w:val="0"/>
          <w:sz w:val="26"/>
          <w:szCs w:val="26"/>
          <w:rtl/>
        </w:rPr>
        <w:t xml:space="preserve"> </w:t>
      </w:r>
      <w:r w:rsidRPr="0069064D">
        <w:rPr>
          <w:rFonts w:ascii="Arial" w:hAnsi="Arial" w:hint="cs"/>
          <w:b/>
          <w:bCs/>
          <w:noProof w:val="0"/>
          <w:sz w:val="26"/>
          <w:szCs w:val="26"/>
          <w:rtl/>
        </w:rPr>
        <w:t>העיתוי</w:t>
      </w:r>
      <w:r>
        <w:rPr>
          <w:rFonts w:ascii="Arial" w:hAnsi="Arial" w:hint="cs"/>
          <w:b/>
          <w:bCs/>
          <w:noProof w:val="0"/>
          <w:sz w:val="26"/>
          <w:szCs w:val="26"/>
          <w:rtl/>
        </w:rPr>
        <w:t xml:space="preserve">: </w:t>
      </w:r>
      <w:r w:rsidRPr="00E03676">
        <w:rPr>
          <w:rFonts w:ascii="Arial" w:hAnsi="Arial" w:hint="cs"/>
          <w:noProof w:val="0"/>
          <w:sz w:val="26"/>
          <w:szCs w:val="26"/>
          <w:rtl/>
        </w:rPr>
        <w:t>אין צורך</w:t>
      </w:r>
      <w:r>
        <w:rPr>
          <w:rFonts w:ascii="Arial" w:hAnsi="Arial" w:hint="cs"/>
          <w:b/>
          <w:bCs/>
          <w:noProof w:val="0"/>
          <w:sz w:val="26"/>
          <w:szCs w:val="26"/>
          <w:rtl/>
        </w:rPr>
        <w:t xml:space="preserve"> </w:t>
      </w:r>
      <w:r w:rsidRPr="0069064D">
        <w:rPr>
          <w:rFonts w:ascii="Arial" w:hAnsi="Arial" w:hint="cs"/>
          <w:noProof w:val="0"/>
          <w:sz w:val="26"/>
          <w:szCs w:val="26"/>
          <w:rtl/>
        </w:rPr>
        <w:t>לה</w:t>
      </w:r>
      <w:r w:rsidR="00912B4D">
        <w:rPr>
          <w:rFonts w:ascii="Arial" w:hAnsi="Arial" w:hint="cs"/>
          <w:noProof w:val="0"/>
          <w:sz w:val="26"/>
          <w:szCs w:val="26"/>
          <w:rtl/>
        </w:rPr>
        <w:t>יות תושב ישראל במועד הרכישה ממש,</w:t>
      </w:r>
      <w:r w:rsidRPr="0069064D">
        <w:rPr>
          <w:rFonts w:ascii="Arial" w:hAnsi="Arial" w:hint="cs"/>
          <w:noProof w:val="0"/>
          <w:sz w:val="26"/>
          <w:szCs w:val="26"/>
          <w:rtl/>
        </w:rPr>
        <w:t xml:space="preserve"> אם תוך שנתיים לאחר מכן הרוכש נהיה "תושב ישראל לראשונה" או לחלופין "תושב חוזר ותיק"</w:t>
      </w:r>
      <w:r w:rsidR="0069064D">
        <w:rPr>
          <w:rFonts w:ascii="Arial" w:hAnsi="Arial" w:hint="cs"/>
          <w:noProof w:val="0"/>
          <w:sz w:val="26"/>
          <w:szCs w:val="26"/>
          <w:rtl/>
        </w:rPr>
        <w:t xml:space="preserve">. </w:t>
      </w:r>
    </w:p>
    <w:p w:rsidR="00E77FF6" w:rsidRDefault="00E77FF6" w:rsidP="0069064D">
      <w:pPr>
        <w:pStyle w:val="ad"/>
        <w:spacing w:line="360" w:lineRule="auto"/>
        <w:ind w:left="587"/>
        <w:jc w:val="both"/>
        <w:rPr>
          <w:rFonts w:ascii="Arial" w:hAnsi="Arial"/>
          <w:noProof w:val="0"/>
          <w:sz w:val="26"/>
          <w:szCs w:val="26"/>
          <w:rtl/>
        </w:rPr>
      </w:pPr>
    </w:p>
    <w:p w:rsidR="0069064D" w:rsidRDefault="0069064D" w:rsidP="00793144">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גם כאן </w:t>
      </w:r>
      <w:r>
        <w:rPr>
          <w:rFonts w:ascii="Arial" w:hAnsi="Arial"/>
          <w:noProof w:val="0"/>
          <w:sz w:val="26"/>
          <w:szCs w:val="26"/>
          <w:rtl/>
        </w:rPr>
        <w:t>–</w:t>
      </w:r>
      <w:r>
        <w:rPr>
          <w:rFonts w:ascii="Arial" w:hAnsi="Arial" w:hint="cs"/>
          <w:noProof w:val="0"/>
          <w:sz w:val="26"/>
          <w:szCs w:val="26"/>
          <w:rtl/>
        </w:rPr>
        <w:t xml:space="preserve"> כמו בעניין סעיף 14 לפקודה שנדון לעיל </w:t>
      </w:r>
      <w:r>
        <w:rPr>
          <w:rFonts w:ascii="Arial" w:hAnsi="Arial"/>
          <w:noProof w:val="0"/>
          <w:sz w:val="26"/>
          <w:szCs w:val="26"/>
          <w:rtl/>
        </w:rPr>
        <w:t>–</w:t>
      </w:r>
      <w:r>
        <w:rPr>
          <w:rFonts w:ascii="Arial" w:hAnsi="Arial" w:hint="cs"/>
          <w:noProof w:val="0"/>
          <w:sz w:val="26"/>
          <w:szCs w:val="26"/>
          <w:rtl/>
        </w:rPr>
        <w:t xml:space="preserve"> נעשית השוואה בין  </w:t>
      </w:r>
      <w:r w:rsidRPr="00793144">
        <w:rPr>
          <w:rFonts w:ascii="Arial" w:hAnsi="Arial" w:hint="cs"/>
          <w:b/>
          <w:bCs/>
          <w:noProof w:val="0"/>
          <w:sz w:val="26"/>
          <w:szCs w:val="26"/>
          <w:rtl/>
        </w:rPr>
        <w:t>תושב ישראל</w:t>
      </w:r>
      <w:r w:rsidR="00793144">
        <w:rPr>
          <w:rFonts w:ascii="Arial" w:hAnsi="Arial" w:hint="cs"/>
          <w:noProof w:val="0"/>
          <w:sz w:val="26"/>
          <w:szCs w:val="26"/>
          <w:rtl/>
        </w:rPr>
        <w:t xml:space="preserve"> </w:t>
      </w:r>
      <w:r w:rsidR="00793144" w:rsidRPr="00793144">
        <w:rPr>
          <w:rFonts w:ascii="Arial" w:hAnsi="Arial" w:hint="cs"/>
          <w:b/>
          <w:bCs/>
          <w:noProof w:val="0"/>
          <w:sz w:val="26"/>
          <w:szCs w:val="26"/>
          <w:rtl/>
        </w:rPr>
        <w:t>לראשונה</w:t>
      </w:r>
      <w:r>
        <w:rPr>
          <w:rFonts w:ascii="Arial" w:hAnsi="Arial" w:hint="cs"/>
          <w:noProof w:val="0"/>
          <w:sz w:val="26"/>
          <w:szCs w:val="26"/>
          <w:rtl/>
        </w:rPr>
        <w:t xml:space="preserve"> לבין "תושב </w:t>
      </w:r>
      <w:r w:rsidR="00C9470C">
        <w:rPr>
          <w:rFonts w:ascii="Arial" w:hAnsi="Arial" w:hint="cs"/>
          <w:noProof w:val="0"/>
          <w:sz w:val="26"/>
          <w:szCs w:val="26"/>
          <w:rtl/>
        </w:rPr>
        <w:t>חוזר ותיק" לצורך הענקת הקלה מסו</w:t>
      </w:r>
      <w:r>
        <w:rPr>
          <w:rFonts w:ascii="Arial" w:hAnsi="Arial" w:hint="cs"/>
          <w:noProof w:val="0"/>
          <w:sz w:val="26"/>
          <w:szCs w:val="26"/>
          <w:rtl/>
        </w:rPr>
        <w:t>ימת.</w:t>
      </w:r>
      <w:r w:rsidR="00793144">
        <w:rPr>
          <w:rFonts w:ascii="Arial" w:hAnsi="Arial" w:hint="cs"/>
          <w:noProof w:val="0"/>
          <w:sz w:val="26"/>
          <w:szCs w:val="26"/>
          <w:rtl/>
        </w:rPr>
        <w:t xml:space="preserve"> </w:t>
      </w:r>
      <w:r w:rsidRPr="00793144">
        <w:rPr>
          <w:rFonts w:ascii="Arial" w:hAnsi="Arial" w:hint="cs"/>
          <w:b/>
          <w:bCs/>
          <w:noProof w:val="0"/>
          <w:sz w:val="26"/>
          <w:szCs w:val="26"/>
          <w:rtl/>
        </w:rPr>
        <w:t>לא</w:t>
      </w:r>
      <w:r>
        <w:rPr>
          <w:rFonts w:ascii="Arial" w:hAnsi="Arial" w:hint="cs"/>
          <w:noProof w:val="0"/>
          <w:sz w:val="26"/>
          <w:szCs w:val="26"/>
          <w:rtl/>
        </w:rPr>
        <w:t xml:space="preserve"> נערכת השוואה ל"עולה" כי הרי מונח זה כלל איננו מופיע בסעיף 9(ג1ג) (ולא בסעיף 9 כולו). </w:t>
      </w:r>
    </w:p>
    <w:p w:rsidR="0069064D" w:rsidRDefault="0069064D" w:rsidP="0069064D">
      <w:pPr>
        <w:pStyle w:val="ad"/>
        <w:spacing w:line="360" w:lineRule="auto"/>
        <w:ind w:left="587"/>
        <w:jc w:val="both"/>
        <w:rPr>
          <w:rFonts w:ascii="Arial" w:hAnsi="Arial"/>
          <w:noProof w:val="0"/>
          <w:sz w:val="26"/>
          <w:szCs w:val="26"/>
          <w:rtl/>
        </w:rPr>
      </w:pPr>
    </w:p>
    <w:p w:rsidR="0069064D" w:rsidRDefault="0069064D" w:rsidP="0069064D">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אינני סבור כי חקיקת סעיף 9(ג1ג) מעידה על כוונה </w:t>
      </w:r>
      <w:r w:rsidRPr="00793144">
        <w:rPr>
          <w:rFonts w:ascii="Arial" w:hAnsi="Arial" w:hint="cs"/>
          <w:b/>
          <w:bCs/>
          <w:noProof w:val="0"/>
          <w:sz w:val="26"/>
          <w:szCs w:val="26"/>
          <w:rtl/>
        </w:rPr>
        <w:t>כללית</w:t>
      </w:r>
      <w:r>
        <w:rPr>
          <w:rFonts w:ascii="Arial" w:hAnsi="Arial" w:hint="cs"/>
          <w:noProof w:val="0"/>
          <w:sz w:val="26"/>
          <w:szCs w:val="26"/>
          <w:rtl/>
        </w:rPr>
        <w:t xml:space="preserve"> יותר להחיל הקלות מס רכישה, לרבות זו המעוגנת בתקנה 12, על ת</w:t>
      </w:r>
      <w:r w:rsidR="004A51EA">
        <w:rPr>
          <w:rFonts w:ascii="Arial" w:hAnsi="Arial" w:hint="cs"/>
          <w:noProof w:val="0"/>
          <w:sz w:val="26"/>
          <w:szCs w:val="26"/>
          <w:rtl/>
        </w:rPr>
        <w:t>וש</w:t>
      </w:r>
      <w:r>
        <w:rPr>
          <w:rFonts w:ascii="Arial" w:hAnsi="Arial" w:hint="cs"/>
          <w:noProof w:val="0"/>
          <w:sz w:val="26"/>
          <w:szCs w:val="26"/>
          <w:rtl/>
        </w:rPr>
        <w:t xml:space="preserve">ב חוזר ותיק. ויוזכר: </w:t>
      </w:r>
    </w:p>
    <w:p w:rsidR="0069064D" w:rsidRDefault="0069064D" w:rsidP="00793144">
      <w:pPr>
        <w:pStyle w:val="ad"/>
        <w:numPr>
          <w:ilvl w:val="0"/>
          <w:numId w:val="4"/>
        </w:numPr>
        <w:spacing w:line="360" w:lineRule="auto"/>
        <w:jc w:val="both"/>
        <w:rPr>
          <w:rFonts w:ascii="Arial" w:hAnsi="Arial"/>
          <w:noProof w:val="0"/>
          <w:sz w:val="26"/>
          <w:szCs w:val="26"/>
        </w:rPr>
      </w:pPr>
      <w:r>
        <w:rPr>
          <w:rFonts w:ascii="Arial" w:hAnsi="Arial" w:hint="cs"/>
          <w:noProof w:val="0"/>
          <w:sz w:val="26"/>
          <w:szCs w:val="26"/>
          <w:rtl/>
        </w:rPr>
        <w:t xml:space="preserve">המונח "עולה" </w:t>
      </w:r>
      <w:r w:rsidR="00793144">
        <w:rPr>
          <w:rFonts w:ascii="Arial" w:hAnsi="Arial" w:hint="cs"/>
          <w:noProof w:val="0"/>
          <w:sz w:val="26"/>
          <w:szCs w:val="26"/>
          <w:rtl/>
        </w:rPr>
        <w:t>שמשמש</w:t>
      </w:r>
      <w:r>
        <w:rPr>
          <w:rFonts w:ascii="Arial" w:hAnsi="Arial" w:hint="cs"/>
          <w:noProof w:val="0"/>
          <w:sz w:val="26"/>
          <w:szCs w:val="26"/>
          <w:rtl/>
        </w:rPr>
        <w:t xml:space="preserve"> בתקנה 12 שונה מהמונח "תושב ישראל לראשונה". כך ש</w:t>
      </w:r>
      <w:r w:rsidR="00793144">
        <w:rPr>
          <w:rFonts w:ascii="Arial" w:hAnsi="Arial" w:hint="cs"/>
          <w:noProof w:val="0"/>
          <w:sz w:val="26"/>
          <w:szCs w:val="26"/>
          <w:rtl/>
        </w:rPr>
        <w:t>ל</w:t>
      </w:r>
      <w:r>
        <w:rPr>
          <w:rFonts w:ascii="Arial" w:hAnsi="Arial" w:hint="cs"/>
          <w:noProof w:val="0"/>
          <w:sz w:val="26"/>
          <w:szCs w:val="26"/>
          <w:rtl/>
        </w:rPr>
        <w:t>א</w:t>
      </w:r>
      <w:r w:rsidR="00793144">
        <w:rPr>
          <w:rFonts w:ascii="Arial" w:hAnsi="Arial" w:hint="cs"/>
          <w:noProof w:val="0"/>
          <w:sz w:val="26"/>
          <w:szCs w:val="26"/>
          <w:rtl/>
        </w:rPr>
        <w:t xml:space="preserve"> כ</w:t>
      </w:r>
      <w:r>
        <w:rPr>
          <w:rFonts w:ascii="Arial" w:hAnsi="Arial" w:hint="cs"/>
          <w:noProof w:val="0"/>
          <w:sz w:val="26"/>
          <w:szCs w:val="26"/>
          <w:rtl/>
        </w:rPr>
        <w:t>ל אדם שעשוי להיחשב כתושב ישראל לראשונה ייח</w:t>
      </w:r>
      <w:r w:rsidR="00C9470C">
        <w:rPr>
          <w:rFonts w:ascii="Arial" w:hAnsi="Arial" w:hint="cs"/>
          <w:noProof w:val="0"/>
          <w:sz w:val="26"/>
          <w:szCs w:val="26"/>
          <w:rtl/>
        </w:rPr>
        <w:t xml:space="preserve">שב מניה וביה ל"עולה" (וראו סעיפים 19 ו- 20 </w:t>
      </w:r>
      <w:r>
        <w:rPr>
          <w:rFonts w:ascii="Arial" w:hAnsi="Arial" w:hint="cs"/>
          <w:noProof w:val="0"/>
          <w:sz w:val="26"/>
          <w:szCs w:val="26"/>
          <w:rtl/>
        </w:rPr>
        <w:t>לעיל);</w:t>
      </w:r>
    </w:p>
    <w:p w:rsidR="00782FD5" w:rsidRDefault="00782FD5" w:rsidP="002C7951">
      <w:pPr>
        <w:pStyle w:val="ad"/>
        <w:numPr>
          <w:ilvl w:val="0"/>
          <w:numId w:val="4"/>
        </w:numPr>
        <w:spacing w:line="360" w:lineRule="auto"/>
        <w:jc w:val="both"/>
        <w:rPr>
          <w:rFonts w:ascii="Arial" w:hAnsi="Arial"/>
          <w:b/>
          <w:bCs/>
          <w:noProof w:val="0"/>
          <w:sz w:val="26"/>
          <w:szCs w:val="26"/>
        </w:rPr>
      </w:pPr>
      <w:r w:rsidRPr="00793144">
        <w:rPr>
          <w:rFonts w:ascii="Arial" w:hAnsi="Arial" w:hint="cs"/>
          <w:noProof w:val="0"/>
          <w:sz w:val="26"/>
          <w:szCs w:val="26"/>
          <w:rtl/>
        </w:rPr>
        <w:t>חקיקת סעיף 9(ג1ג) בשנת 2013 הביאה עוד הזדמנות להכניס את התושבים החוזרים הוותיקים לתחולת תקנה 12 (על ידי שינוי הגדרת המונח "עולה" שם או</w:t>
      </w:r>
      <w:r w:rsidR="00793144" w:rsidRPr="00793144">
        <w:rPr>
          <w:rFonts w:ascii="Arial" w:hAnsi="Arial" w:hint="cs"/>
          <w:noProof w:val="0"/>
          <w:sz w:val="26"/>
          <w:szCs w:val="26"/>
          <w:rtl/>
        </w:rPr>
        <w:t xml:space="preserve"> על ידי</w:t>
      </w:r>
      <w:r w:rsidRPr="00793144">
        <w:rPr>
          <w:rFonts w:ascii="Arial" w:hAnsi="Arial" w:hint="cs"/>
          <w:noProof w:val="0"/>
          <w:sz w:val="26"/>
          <w:szCs w:val="26"/>
          <w:rtl/>
        </w:rPr>
        <w:t xml:space="preserve"> שימוש בסמ</w:t>
      </w:r>
      <w:r w:rsidR="00793144" w:rsidRPr="00793144">
        <w:rPr>
          <w:rFonts w:ascii="Arial" w:hAnsi="Arial" w:hint="cs"/>
          <w:noProof w:val="0"/>
          <w:sz w:val="26"/>
          <w:szCs w:val="26"/>
          <w:rtl/>
        </w:rPr>
        <w:t xml:space="preserve">כות שר האוצר לפי תקנה 12(א)(2)) </w:t>
      </w:r>
      <w:r w:rsidR="00793144">
        <w:rPr>
          <w:rFonts w:ascii="Arial" w:hAnsi="Arial"/>
          <w:b/>
          <w:bCs/>
          <w:noProof w:val="0"/>
          <w:sz w:val="26"/>
          <w:szCs w:val="26"/>
          <w:rtl/>
        </w:rPr>
        <w:t>–</w:t>
      </w:r>
      <w:r w:rsidR="00793144">
        <w:rPr>
          <w:rFonts w:ascii="Arial" w:hAnsi="Arial" w:hint="cs"/>
          <w:b/>
          <w:bCs/>
          <w:noProof w:val="0"/>
          <w:sz w:val="26"/>
          <w:szCs w:val="26"/>
          <w:rtl/>
        </w:rPr>
        <w:t xml:space="preserve"> אולם </w:t>
      </w:r>
      <w:r w:rsidRPr="00793144">
        <w:rPr>
          <w:rFonts w:ascii="Arial" w:hAnsi="Arial" w:hint="cs"/>
          <w:b/>
          <w:bCs/>
          <w:noProof w:val="0"/>
          <w:sz w:val="26"/>
          <w:szCs w:val="26"/>
          <w:rtl/>
        </w:rPr>
        <w:t>דבר לא נעשה</w:t>
      </w:r>
      <w:r w:rsidRPr="00793144">
        <w:rPr>
          <w:rFonts w:ascii="Arial" w:hAnsi="Arial" w:hint="cs"/>
          <w:noProof w:val="0"/>
          <w:sz w:val="26"/>
          <w:szCs w:val="26"/>
          <w:rtl/>
        </w:rPr>
        <w:t>.</w:t>
      </w:r>
    </w:p>
    <w:p w:rsidR="00E1537A" w:rsidRDefault="00E1537A" w:rsidP="00E1537A">
      <w:pPr>
        <w:pStyle w:val="ad"/>
        <w:spacing w:line="360" w:lineRule="auto"/>
        <w:ind w:left="947"/>
        <w:jc w:val="both"/>
        <w:rPr>
          <w:rFonts w:ascii="Arial" w:hAnsi="Arial"/>
          <w:b/>
          <w:bCs/>
          <w:noProof w:val="0"/>
          <w:sz w:val="26"/>
          <w:szCs w:val="26"/>
          <w:rtl/>
        </w:rPr>
      </w:pPr>
    </w:p>
    <w:p w:rsidR="00E1537A" w:rsidRDefault="00E1537A" w:rsidP="00E1537A">
      <w:pPr>
        <w:pStyle w:val="ad"/>
        <w:spacing w:line="360" w:lineRule="auto"/>
        <w:ind w:left="947"/>
        <w:jc w:val="both"/>
        <w:rPr>
          <w:rFonts w:ascii="Arial" w:hAnsi="Arial"/>
          <w:b/>
          <w:bCs/>
          <w:noProof w:val="0"/>
          <w:sz w:val="26"/>
          <w:szCs w:val="26"/>
          <w:rtl/>
        </w:rPr>
      </w:pPr>
    </w:p>
    <w:p w:rsidR="00E1537A" w:rsidRPr="00793144" w:rsidRDefault="00E1537A" w:rsidP="00E1537A">
      <w:pPr>
        <w:pStyle w:val="ad"/>
        <w:spacing w:line="360" w:lineRule="auto"/>
        <w:ind w:left="947"/>
        <w:jc w:val="both"/>
        <w:rPr>
          <w:rFonts w:ascii="Arial" w:hAnsi="Arial"/>
          <w:b/>
          <w:bCs/>
          <w:noProof w:val="0"/>
          <w:sz w:val="26"/>
          <w:szCs w:val="26"/>
        </w:rPr>
      </w:pPr>
    </w:p>
    <w:p w:rsidR="00782FD5" w:rsidRPr="00793144" w:rsidRDefault="00782FD5" w:rsidP="00782FD5">
      <w:pPr>
        <w:spacing w:line="360" w:lineRule="auto"/>
        <w:jc w:val="both"/>
        <w:rPr>
          <w:rFonts w:ascii="Arial" w:hAnsi="Arial"/>
          <w:b/>
          <w:bCs/>
          <w:noProof w:val="0"/>
          <w:sz w:val="26"/>
          <w:szCs w:val="26"/>
        </w:rPr>
      </w:pPr>
    </w:p>
    <w:p w:rsidR="00E03676" w:rsidRDefault="00782FD5" w:rsidP="00782FD5">
      <w:pPr>
        <w:pStyle w:val="ad"/>
        <w:spacing w:line="360" w:lineRule="auto"/>
        <w:ind w:left="587"/>
        <w:jc w:val="both"/>
        <w:rPr>
          <w:rFonts w:ascii="Arial" w:hAnsi="Arial"/>
          <w:noProof w:val="0"/>
          <w:sz w:val="26"/>
          <w:szCs w:val="26"/>
        </w:rPr>
      </w:pPr>
      <w:r>
        <w:rPr>
          <w:rFonts w:ascii="Arial" w:hAnsi="Arial" w:hint="cs"/>
          <w:b/>
          <w:bCs/>
          <w:noProof w:val="0"/>
          <w:sz w:val="26"/>
          <w:szCs w:val="26"/>
          <w:u w:val="single"/>
          <w:rtl/>
        </w:rPr>
        <w:t>הפסיקה בעניין תקנה 12 והתנאי של כניסה "לראשונה" לישראל</w:t>
      </w:r>
    </w:p>
    <w:p w:rsidR="00782FD5" w:rsidRDefault="00782FD5" w:rsidP="00793144">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העוררים מוצאים חיזוק </w:t>
      </w:r>
      <w:r w:rsidR="00793144">
        <w:rPr>
          <w:rFonts w:ascii="Arial" w:hAnsi="Arial" w:hint="cs"/>
          <w:noProof w:val="0"/>
          <w:sz w:val="26"/>
          <w:szCs w:val="26"/>
          <w:rtl/>
        </w:rPr>
        <w:t xml:space="preserve">לעמדתם </w:t>
      </w:r>
      <w:r>
        <w:rPr>
          <w:rFonts w:ascii="Arial" w:hAnsi="Arial" w:hint="cs"/>
          <w:noProof w:val="0"/>
          <w:sz w:val="26"/>
          <w:szCs w:val="26"/>
          <w:rtl/>
        </w:rPr>
        <w:t xml:space="preserve">גם בפסיקה שדנה בתקנה 12, ובפרט בע"א 3207/93 </w:t>
      </w:r>
      <w:r w:rsidRPr="00793144">
        <w:rPr>
          <w:rFonts w:ascii="Arial" w:hAnsi="Arial" w:hint="cs"/>
          <w:b/>
          <w:bCs/>
          <w:noProof w:val="0"/>
          <w:sz w:val="26"/>
          <w:szCs w:val="26"/>
          <w:rtl/>
        </w:rPr>
        <w:t>פדר נ' מנהל מס שבח מקרקעין</w:t>
      </w:r>
      <w:r w:rsidR="00DE690C" w:rsidRPr="00793144">
        <w:rPr>
          <w:rFonts w:ascii="Arial" w:hAnsi="Arial" w:hint="cs"/>
          <w:noProof w:val="0"/>
          <w:sz w:val="26"/>
          <w:szCs w:val="26"/>
          <w:rtl/>
        </w:rPr>
        <w:t xml:space="preserve">, </w:t>
      </w:r>
      <w:r w:rsidR="00DE690C">
        <w:rPr>
          <w:rFonts w:ascii="Arial" w:hAnsi="Arial" w:hint="cs"/>
          <w:noProof w:val="0"/>
          <w:sz w:val="26"/>
          <w:szCs w:val="26"/>
          <w:rtl/>
        </w:rPr>
        <w:t xml:space="preserve">ניתן ביום 31.12.1997, וכן </w:t>
      </w:r>
      <w:r w:rsidR="00793144">
        <w:rPr>
          <w:rFonts w:ascii="Arial" w:hAnsi="Arial" w:hint="cs"/>
          <w:noProof w:val="0"/>
          <w:sz w:val="26"/>
          <w:szCs w:val="26"/>
          <w:rtl/>
        </w:rPr>
        <w:t>בפסק דין</w:t>
      </w:r>
      <w:r w:rsidR="00EB241C">
        <w:rPr>
          <w:rFonts w:ascii="Arial" w:hAnsi="Arial" w:hint="cs"/>
          <w:noProof w:val="0"/>
          <w:sz w:val="26"/>
          <w:szCs w:val="26"/>
          <w:rtl/>
        </w:rPr>
        <w:t xml:space="preserve"> </w:t>
      </w:r>
      <w:r w:rsidR="00EB241C" w:rsidRPr="00EB241C">
        <w:rPr>
          <w:rFonts w:ascii="Arial" w:hAnsi="Arial" w:hint="cs"/>
          <w:b/>
          <w:bCs/>
          <w:noProof w:val="0"/>
          <w:sz w:val="26"/>
          <w:szCs w:val="26"/>
          <w:rtl/>
        </w:rPr>
        <w:t>אלל</w:t>
      </w:r>
      <w:r w:rsidR="00793144">
        <w:rPr>
          <w:rFonts w:ascii="Arial" w:hAnsi="Arial" w:hint="cs"/>
          <w:noProof w:val="0"/>
          <w:sz w:val="26"/>
          <w:szCs w:val="26"/>
          <w:rtl/>
        </w:rPr>
        <w:t xml:space="preserve"> הנ"ל. </w:t>
      </w:r>
    </w:p>
    <w:p w:rsidR="00DE690C" w:rsidRDefault="00DE690C" w:rsidP="00DE690C">
      <w:pPr>
        <w:pStyle w:val="ad"/>
        <w:spacing w:line="360" w:lineRule="auto"/>
        <w:ind w:left="587"/>
        <w:jc w:val="both"/>
        <w:rPr>
          <w:rFonts w:ascii="Arial" w:hAnsi="Arial"/>
          <w:noProof w:val="0"/>
          <w:sz w:val="26"/>
          <w:szCs w:val="26"/>
          <w:rtl/>
        </w:rPr>
      </w:pPr>
    </w:p>
    <w:p w:rsidR="00DE690C" w:rsidRDefault="00DE690C" w:rsidP="00DE690C">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אולם נמצא כי בפסקי דין אלה נדונו סוגיות הקשורות לזכאותם  של </w:t>
      </w:r>
      <w:r>
        <w:rPr>
          <w:rFonts w:ascii="Arial" w:hAnsi="Arial" w:hint="cs"/>
          <w:b/>
          <w:bCs/>
          <w:noProof w:val="0"/>
          <w:sz w:val="26"/>
          <w:szCs w:val="26"/>
          <w:rtl/>
        </w:rPr>
        <w:t>עולים</w:t>
      </w:r>
      <w:r>
        <w:rPr>
          <w:rFonts w:ascii="Arial" w:hAnsi="Arial" w:hint="cs"/>
          <w:noProof w:val="0"/>
          <w:sz w:val="26"/>
          <w:szCs w:val="26"/>
          <w:rtl/>
        </w:rPr>
        <w:t xml:space="preserve"> לפי תקנה 12 (בעניין </w:t>
      </w:r>
      <w:r>
        <w:rPr>
          <w:rFonts w:ascii="Arial" w:hAnsi="Arial" w:hint="cs"/>
          <w:b/>
          <w:bCs/>
          <w:noProof w:val="0"/>
          <w:sz w:val="26"/>
          <w:szCs w:val="26"/>
          <w:rtl/>
        </w:rPr>
        <w:t>פדר</w:t>
      </w:r>
      <w:r>
        <w:rPr>
          <w:rFonts w:ascii="Arial" w:hAnsi="Arial" w:hint="cs"/>
          <w:noProof w:val="0"/>
          <w:sz w:val="26"/>
          <w:szCs w:val="26"/>
          <w:rtl/>
        </w:rPr>
        <w:t xml:space="preserve">, בנוגע לדרישה לפיה תקופת ההקלה תימנה ממועד הכניסה </w:t>
      </w:r>
      <w:r>
        <w:rPr>
          <w:rFonts w:ascii="Arial" w:hAnsi="Arial" w:hint="cs"/>
          <w:b/>
          <w:bCs/>
          <w:noProof w:val="0"/>
          <w:sz w:val="26"/>
          <w:szCs w:val="26"/>
          <w:rtl/>
        </w:rPr>
        <w:t>"לראשונה"</w:t>
      </w:r>
      <w:r>
        <w:rPr>
          <w:rFonts w:ascii="Arial" w:hAnsi="Arial" w:hint="cs"/>
          <w:noProof w:val="0"/>
          <w:sz w:val="26"/>
          <w:szCs w:val="26"/>
          <w:rtl/>
        </w:rPr>
        <w:t xml:space="preserve"> לישראל; בעניין </w:t>
      </w:r>
      <w:r>
        <w:rPr>
          <w:rFonts w:ascii="Arial" w:hAnsi="Arial" w:hint="cs"/>
          <w:b/>
          <w:bCs/>
          <w:noProof w:val="0"/>
          <w:sz w:val="26"/>
          <w:szCs w:val="26"/>
          <w:rtl/>
        </w:rPr>
        <w:t>אלל</w:t>
      </w:r>
      <w:r>
        <w:rPr>
          <w:rFonts w:ascii="Arial" w:hAnsi="Arial" w:hint="cs"/>
          <w:noProof w:val="0"/>
          <w:sz w:val="26"/>
          <w:szCs w:val="26"/>
          <w:rtl/>
        </w:rPr>
        <w:t xml:space="preserve">, הדרישה כי הדירה הנרכשת  תשמש </w:t>
      </w:r>
      <w:r>
        <w:rPr>
          <w:rFonts w:ascii="Arial" w:hAnsi="Arial" w:hint="cs"/>
          <w:b/>
          <w:bCs/>
          <w:noProof w:val="0"/>
          <w:sz w:val="26"/>
          <w:szCs w:val="26"/>
          <w:rtl/>
        </w:rPr>
        <w:t>"למגורי העולה"</w:t>
      </w:r>
      <w:r w:rsidRPr="00DE690C">
        <w:rPr>
          <w:rFonts w:ascii="Arial" w:hAnsi="Arial" w:hint="cs"/>
          <w:noProof w:val="0"/>
          <w:sz w:val="26"/>
          <w:szCs w:val="26"/>
          <w:rtl/>
        </w:rPr>
        <w:t>).</w:t>
      </w:r>
      <w:r>
        <w:rPr>
          <w:rFonts w:ascii="Arial" w:hAnsi="Arial" w:hint="cs"/>
          <w:noProof w:val="0"/>
          <w:sz w:val="26"/>
          <w:szCs w:val="26"/>
          <w:rtl/>
        </w:rPr>
        <w:t xml:space="preserve"> </w:t>
      </w:r>
    </w:p>
    <w:p w:rsidR="00EB241C" w:rsidRDefault="00EB241C" w:rsidP="00DE690C">
      <w:pPr>
        <w:pStyle w:val="ad"/>
        <w:spacing w:line="360" w:lineRule="auto"/>
        <w:ind w:left="587"/>
        <w:jc w:val="both"/>
        <w:rPr>
          <w:rFonts w:ascii="Arial" w:hAnsi="Arial"/>
          <w:noProof w:val="0"/>
          <w:sz w:val="26"/>
          <w:szCs w:val="26"/>
          <w:rtl/>
        </w:rPr>
      </w:pPr>
    </w:p>
    <w:p w:rsidR="00DE690C" w:rsidRDefault="00DE690C" w:rsidP="00DE690C">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דווקא בעניין </w:t>
      </w:r>
      <w:r>
        <w:rPr>
          <w:rFonts w:ascii="Arial" w:hAnsi="Arial" w:hint="cs"/>
          <w:b/>
          <w:bCs/>
          <w:noProof w:val="0"/>
          <w:sz w:val="26"/>
          <w:szCs w:val="26"/>
          <w:rtl/>
        </w:rPr>
        <w:t>פדר</w:t>
      </w:r>
      <w:r>
        <w:rPr>
          <w:rFonts w:ascii="Arial" w:hAnsi="Arial" w:hint="cs"/>
          <w:noProof w:val="0"/>
          <w:sz w:val="26"/>
          <w:szCs w:val="26"/>
          <w:rtl/>
        </w:rPr>
        <w:t>, כבוד הנשיא בר</w:t>
      </w:r>
      <w:r w:rsidR="00C9470C">
        <w:rPr>
          <w:rFonts w:ascii="Arial" w:hAnsi="Arial" w:hint="cs"/>
          <w:noProof w:val="0"/>
          <w:sz w:val="26"/>
          <w:szCs w:val="26"/>
          <w:rtl/>
        </w:rPr>
        <w:t xml:space="preserve">ק, אשר הצטרף לכבוד השופט טירקל </w:t>
      </w:r>
      <w:r>
        <w:rPr>
          <w:rFonts w:ascii="Arial" w:hAnsi="Arial" w:hint="cs"/>
          <w:noProof w:val="0"/>
          <w:sz w:val="26"/>
          <w:szCs w:val="26"/>
          <w:rtl/>
        </w:rPr>
        <w:t xml:space="preserve">ברוב, הטעים: </w:t>
      </w:r>
    </w:p>
    <w:p w:rsidR="00DE690C" w:rsidRDefault="00DE690C" w:rsidP="00DE690C">
      <w:pPr>
        <w:pStyle w:val="ad"/>
        <w:spacing w:line="360" w:lineRule="auto"/>
        <w:ind w:left="587"/>
        <w:jc w:val="both"/>
        <w:rPr>
          <w:rFonts w:ascii="Arial" w:hAnsi="Arial"/>
          <w:noProof w:val="0"/>
          <w:sz w:val="26"/>
          <w:szCs w:val="26"/>
          <w:rtl/>
        </w:rPr>
      </w:pPr>
    </w:p>
    <w:p w:rsidR="00DE690C" w:rsidRPr="00DE690C" w:rsidRDefault="00DE690C" w:rsidP="00DE690C">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"אכן, לדעתי התכלית המונחת ביסוד תקנה 12(ב) לתקנות מס רכישה היא מוגבלת מזו המוצעת על ידי חברי</w:t>
      </w:r>
      <w:r w:rsidR="00793144">
        <w:rPr>
          <w:rFonts w:ascii="Arial" w:hAnsi="Arial" w:hint="cs"/>
          <w:b/>
          <w:bCs/>
          <w:noProof w:val="0"/>
          <w:sz w:val="26"/>
          <w:szCs w:val="26"/>
          <w:rtl/>
        </w:rPr>
        <w:t xml:space="preserve"> </w:t>
      </w:r>
      <w:r w:rsidR="00793144">
        <w:rPr>
          <w:rFonts w:ascii="Arial" w:hAnsi="Arial" w:hint="cs"/>
          <w:noProof w:val="0"/>
          <w:sz w:val="26"/>
          <w:szCs w:val="26"/>
          <w:rtl/>
        </w:rPr>
        <w:t xml:space="preserve">[כבוד השופט אנגלרד, שהיה במיעוט </w:t>
      </w:r>
      <w:r w:rsidR="00793144">
        <w:rPr>
          <w:rFonts w:ascii="Arial" w:hAnsi="Arial"/>
          <w:noProof w:val="0"/>
          <w:sz w:val="26"/>
          <w:szCs w:val="26"/>
          <w:rtl/>
        </w:rPr>
        <w:t>–</w:t>
      </w:r>
      <w:r w:rsidR="00793144">
        <w:rPr>
          <w:rFonts w:ascii="Arial" w:hAnsi="Arial" w:hint="cs"/>
          <w:noProof w:val="0"/>
          <w:sz w:val="26"/>
          <w:szCs w:val="26"/>
          <w:rtl/>
        </w:rPr>
        <w:t xml:space="preserve"> ה"ק]</w:t>
      </w:r>
      <w:r>
        <w:rPr>
          <w:rFonts w:ascii="Arial" w:hAnsi="Arial" w:hint="cs"/>
          <w:b/>
          <w:bCs/>
          <w:noProof w:val="0"/>
          <w:sz w:val="26"/>
          <w:szCs w:val="26"/>
          <w:rtl/>
        </w:rPr>
        <w:t xml:space="preserve">. התכלית הינה לסייע לעולה </w:t>
      </w:r>
      <w:r>
        <w:rPr>
          <w:rFonts w:ascii="Arial" w:hAnsi="Arial"/>
          <w:b/>
          <w:bCs/>
          <w:noProof w:val="0"/>
          <w:sz w:val="26"/>
          <w:szCs w:val="26"/>
          <w:rtl/>
        </w:rPr>
        <w:t>–</w:t>
      </w:r>
      <w:r>
        <w:rPr>
          <w:rFonts w:ascii="Arial" w:hAnsi="Arial" w:hint="cs"/>
          <w:b/>
          <w:bCs/>
          <w:noProof w:val="0"/>
          <w:sz w:val="26"/>
          <w:szCs w:val="26"/>
          <w:rtl/>
        </w:rPr>
        <w:t xml:space="preserve"> כמשמעות ביטוי זה בתקנות מס רכישה </w:t>
      </w:r>
      <w:r>
        <w:rPr>
          <w:rFonts w:ascii="Arial" w:hAnsi="Arial"/>
          <w:b/>
          <w:bCs/>
          <w:noProof w:val="0"/>
          <w:sz w:val="26"/>
          <w:szCs w:val="26"/>
          <w:rtl/>
        </w:rPr>
        <w:t>–</w:t>
      </w:r>
      <w:r>
        <w:rPr>
          <w:rFonts w:ascii="Arial" w:hAnsi="Arial" w:hint="cs"/>
          <w:b/>
          <w:bCs/>
          <w:noProof w:val="0"/>
          <w:sz w:val="26"/>
          <w:szCs w:val="26"/>
          <w:rtl/>
        </w:rPr>
        <w:t xml:space="preserve"> בצעדיו הראשונים במדינתו החדשה. התכלית אינה לסייע לכל עולה בכל עת. התכלית </w:t>
      </w:r>
      <w:r w:rsidR="001D659C">
        <w:rPr>
          <w:rFonts w:ascii="Arial" w:hAnsi="Arial" w:hint="cs"/>
          <w:b/>
          <w:bCs/>
          <w:noProof w:val="0"/>
          <w:sz w:val="26"/>
          <w:szCs w:val="26"/>
          <w:rtl/>
        </w:rPr>
        <w:t>הינה לסייע בידי העולה 'ה</w:t>
      </w:r>
      <w:r>
        <w:rPr>
          <w:rFonts w:ascii="Arial" w:hAnsi="Arial" w:hint="cs"/>
          <w:b/>
          <w:bCs/>
          <w:noProof w:val="0"/>
          <w:sz w:val="26"/>
          <w:szCs w:val="26"/>
          <w:rtl/>
        </w:rPr>
        <w:t>טרי', שזו לו 'הפגישה' הראשונ</w:t>
      </w:r>
      <w:r w:rsidR="001D659C">
        <w:rPr>
          <w:rFonts w:ascii="Arial" w:hAnsi="Arial" w:hint="cs"/>
          <w:b/>
          <w:bCs/>
          <w:noProof w:val="0"/>
          <w:sz w:val="26"/>
          <w:szCs w:val="26"/>
          <w:rtl/>
        </w:rPr>
        <w:t>ה עם הארץ החדשה.  התכלית אינה לסייע בידי אותו עולה 'ישן' שעלה לישראל בעבר, אך עזב אותה וכעת הוא שב אליה."</w:t>
      </w:r>
    </w:p>
    <w:p w:rsidR="00DE690C" w:rsidRPr="00DE690C" w:rsidRDefault="00DE690C" w:rsidP="00DE690C">
      <w:pPr>
        <w:pStyle w:val="ad"/>
        <w:spacing w:line="360" w:lineRule="auto"/>
        <w:ind w:left="587"/>
        <w:jc w:val="both"/>
        <w:rPr>
          <w:rFonts w:ascii="Arial" w:hAnsi="Arial"/>
          <w:noProof w:val="0"/>
          <w:sz w:val="26"/>
          <w:szCs w:val="26"/>
        </w:rPr>
      </w:pPr>
    </w:p>
    <w:p w:rsidR="00DE690C" w:rsidRDefault="001D659C" w:rsidP="00793144">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אמנם הדברים הנ"ל נכתבו לפני חקיקת תיקון מס' 168 </w:t>
      </w:r>
      <w:r>
        <w:rPr>
          <w:rFonts w:ascii="Arial" w:hAnsi="Arial" w:hint="cs"/>
          <w:b/>
          <w:bCs/>
          <w:noProof w:val="0"/>
          <w:sz w:val="26"/>
          <w:szCs w:val="26"/>
          <w:rtl/>
        </w:rPr>
        <w:t xml:space="preserve">לפקודת מס </w:t>
      </w:r>
      <w:r w:rsidRPr="001D659C">
        <w:rPr>
          <w:rFonts w:ascii="Arial" w:hAnsi="Arial" w:hint="cs"/>
          <w:b/>
          <w:bCs/>
          <w:noProof w:val="0"/>
          <w:sz w:val="26"/>
          <w:szCs w:val="26"/>
          <w:rtl/>
        </w:rPr>
        <w:t>הכנסה</w:t>
      </w:r>
      <w:r>
        <w:rPr>
          <w:rFonts w:ascii="Arial" w:hAnsi="Arial" w:hint="cs"/>
          <w:noProof w:val="0"/>
          <w:sz w:val="26"/>
          <w:szCs w:val="26"/>
          <w:rtl/>
        </w:rPr>
        <w:t>, והטבעת המושג "תושב חוזר ותיק". אולם כאמור</w:t>
      </w:r>
      <w:r w:rsidR="00793144">
        <w:rPr>
          <w:rFonts w:ascii="Arial" w:hAnsi="Arial" w:hint="cs"/>
          <w:noProof w:val="0"/>
          <w:sz w:val="26"/>
          <w:szCs w:val="26"/>
          <w:rtl/>
        </w:rPr>
        <w:t>,</w:t>
      </w:r>
      <w:r>
        <w:rPr>
          <w:rFonts w:ascii="Arial" w:hAnsi="Arial" w:hint="cs"/>
          <w:noProof w:val="0"/>
          <w:sz w:val="26"/>
          <w:szCs w:val="26"/>
          <w:rtl/>
        </w:rPr>
        <w:t xml:space="preserve"> תקנה 12 לתקנות מס רכישה </w:t>
      </w:r>
      <w:r>
        <w:rPr>
          <w:rFonts w:ascii="Arial" w:hAnsi="Arial" w:hint="cs"/>
          <w:b/>
          <w:bCs/>
          <w:noProof w:val="0"/>
          <w:sz w:val="26"/>
          <w:szCs w:val="26"/>
          <w:rtl/>
        </w:rPr>
        <w:t xml:space="preserve">לא </w:t>
      </w:r>
      <w:r w:rsidRPr="001D659C">
        <w:rPr>
          <w:rFonts w:ascii="Arial" w:hAnsi="Arial" w:hint="cs"/>
          <w:b/>
          <w:bCs/>
          <w:noProof w:val="0"/>
          <w:sz w:val="26"/>
          <w:szCs w:val="26"/>
          <w:rtl/>
        </w:rPr>
        <w:t>שונתה</w:t>
      </w:r>
      <w:r>
        <w:rPr>
          <w:rFonts w:ascii="Arial" w:hAnsi="Arial" w:hint="cs"/>
          <w:noProof w:val="0"/>
          <w:sz w:val="26"/>
          <w:szCs w:val="26"/>
          <w:rtl/>
        </w:rPr>
        <w:t xml:space="preserve"> במקביל, ותכליתה פורטה, בין היתר, בפסק דין </w:t>
      </w:r>
      <w:r>
        <w:rPr>
          <w:rFonts w:ascii="Arial" w:hAnsi="Arial" w:hint="cs"/>
          <w:b/>
          <w:bCs/>
          <w:noProof w:val="0"/>
          <w:sz w:val="26"/>
          <w:szCs w:val="26"/>
          <w:rtl/>
        </w:rPr>
        <w:t>פדר</w:t>
      </w:r>
      <w:r>
        <w:rPr>
          <w:rFonts w:ascii="Arial" w:hAnsi="Arial" w:hint="cs"/>
          <w:noProof w:val="0"/>
          <w:sz w:val="26"/>
          <w:szCs w:val="26"/>
          <w:rtl/>
        </w:rPr>
        <w:t>.</w:t>
      </w:r>
    </w:p>
    <w:p w:rsidR="001D659C" w:rsidRDefault="001D659C" w:rsidP="001D659C">
      <w:pPr>
        <w:pStyle w:val="ad"/>
        <w:spacing w:line="360" w:lineRule="auto"/>
        <w:ind w:left="587"/>
        <w:jc w:val="both"/>
        <w:rPr>
          <w:rFonts w:ascii="Arial" w:hAnsi="Arial"/>
          <w:noProof w:val="0"/>
          <w:sz w:val="26"/>
          <w:szCs w:val="26"/>
          <w:rtl/>
        </w:rPr>
      </w:pPr>
    </w:p>
    <w:p w:rsidR="001D659C" w:rsidRDefault="001D659C" w:rsidP="00793144">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בהמשך לדברים </w:t>
      </w:r>
      <w:r w:rsidR="00793144">
        <w:rPr>
          <w:rFonts w:ascii="Arial" w:hAnsi="Arial" w:hint="cs"/>
          <w:noProof w:val="0"/>
          <w:sz w:val="26"/>
          <w:szCs w:val="26"/>
          <w:rtl/>
        </w:rPr>
        <w:t>האלה</w:t>
      </w:r>
      <w:r>
        <w:rPr>
          <w:rFonts w:ascii="Arial" w:hAnsi="Arial" w:hint="cs"/>
          <w:noProof w:val="0"/>
          <w:sz w:val="26"/>
          <w:szCs w:val="26"/>
          <w:rtl/>
        </w:rPr>
        <w:t>, נשוב ונעיר כי על פי תקנה 12(ב)</w:t>
      </w:r>
      <w:r w:rsidR="00793144">
        <w:rPr>
          <w:rFonts w:ascii="Arial" w:hAnsi="Arial" w:hint="cs"/>
          <w:noProof w:val="0"/>
          <w:sz w:val="26"/>
          <w:szCs w:val="26"/>
          <w:rtl/>
        </w:rPr>
        <w:t>,</w:t>
      </w:r>
      <w:r>
        <w:rPr>
          <w:rFonts w:ascii="Arial" w:hAnsi="Arial" w:hint="cs"/>
          <w:noProof w:val="0"/>
          <w:sz w:val="26"/>
          <w:szCs w:val="26"/>
          <w:rtl/>
        </w:rPr>
        <w:t xml:space="preserve"> תקופת ההטבה לעולה מתחילה </w:t>
      </w:r>
      <w:r>
        <w:rPr>
          <w:rFonts w:ascii="Arial" w:hAnsi="Arial" w:hint="cs"/>
          <w:b/>
          <w:bCs/>
          <w:noProof w:val="0"/>
          <w:sz w:val="26"/>
          <w:szCs w:val="26"/>
          <w:rtl/>
        </w:rPr>
        <w:t>"שנה אחת לפני שנכנס לישראל, כאמור בתקנת משנה (א)</w:t>
      </w:r>
      <w:r w:rsidR="00D83A87">
        <w:rPr>
          <w:rFonts w:ascii="Arial" w:hAnsi="Arial" w:hint="cs"/>
          <w:b/>
          <w:bCs/>
          <w:noProof w:val="0"/>
          <w:sz w:val="26"/>
          <w:szCs w:val="26"/>
          <w:rtl/>
        </w:rPr>
        <w:t>, לראשונה, ומסתיימת שבע שנים לאחר כניסתו, כאמור..."</w:t>
      </w:r>
      <w:r w:rsidR="00D83A87">
        <w:rPr>
          <w:rFonts w:ascii="Arial" w:hAnsi="Arial" w:hint="cs"/>
          <w:noProof w:val="0"/>
          <w:sz w:val="26"/>
          <w:szCs w:val="26"/>
          <w:rtl/>
        </w:rPr>
        <w:t>.</w:t>
      </w:r>
      <w:r w:rsidR="00DF249D">
        <w:rPr>
          <w:rFonts w:ascii="Arial" w:hAnsi="Arial" w:hint="cs"/>
          <w:noProof w:val="0"/>
          <w:sz w:val="26"/>
          <w:szCs w:val="26"/>
          <w:rtl/>
        </w:rPr>
        <w:t xml:space="preserve"> </w:t>
      </w:r>
      <w:r w:rsidR="00793144">
        <w:rPr>
          <w:rStyle w:val="af0"/>
          <w:rFonts w:ascii="Arial" w:hAnsi="Arial"/>
          <w:noProof w:val="0"/>
          <w:sz w:val="26"/>
          <w:szCs w:val="26"/>
        </w:rPr>
        <w:footnoteReference w:id="8"/>
      </w:r>
    </w:p>
    <w:p w:rsidR="00D83A87" w:rsidRPr="00DF249D" w:rsidRDefault="00D83A87" w:rsidP="00D83A87">
      <w:pPr>
        <w:pStyle w:val="ad"/>
        <w:spacing w:line="360" w:lineRule="auto"/>
        <w:ind w:left="587"/>
        <w:jc w:val="both"/>
        <w:rPr>
          <w:rFonts w:ascii="Arial" w:hAnsi="Arial"/>
          <w:noProof w:val="0"/>
          <w:sz w:val="26"/>
          <w:szCs w:val="26"/>
          <w:rtl/>
        </w:rPr>
      </w:pPr>
    </w:p>
    <w:p w:rsidR="00D83A87" w:rsidRDefault="00D83A87" w:rsidP="00DF249D">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המילה "לראשונה" איננה מתאימה כמובן לאדם שנולד בישראל והיה אזרח ותושב המדינה מלידתו (עד לעזיבתו). גם בכך יש רמז לאי תחולתה של תקנה 12 על תושב חוזר ותיק, בהעדר החלה מפורשת. </w:t>
      </w:r>
    </w:p>
    <w:p w:rsidR="0030624F" w:rsidRDefault="0030624F" w:rsidP="00D83A87">
      <w:pPr>
        <w:pStyle w:val="ad"/>
        <w:spacing w:line="360" w:lineRule="auto"/>
        <w:ind w:left="587"/>
        <w:jc w:val="both"/>
        <w:rPr>
          <w:rFonts w:ascii="Arial" w:hAnsi="Arial"/>
          <w:noProof w:val="0"/>
          <w:sz w:val="26"/>
          <w:szCs w:val="26"/>
          <w:rtl/>
        </w:rPr>
      </w:pPr>
    </w:p>
    <w:p w:rsidR="0030624F" w:rsidRPr="0030624F" w:rsidRDefault="0030624F" w:rsidP="00D83A87">
      <w:pPr>
        <w:pStyle w:val="ad"/>
        <w:spacing w:line="360" w:lineRule="auto"/>
        <w:ind w:left="587"/>
        <w:jc w:val="both"/>
        <w:rPr>
          <w:rFonts w:ascii="Arial" w:hAnsi="Arial"/>
          <w:b/>
          <w:bCs/>
          <w:noProof w:val="0"/>
          <w:sz w:val="28"/>
          <w:szCs w:val="28"/>
          <w:u w:val="single"/>
        </w:rPr>
      </w:pPr>
      <w:r w:rsidRPr="0030624F">
        <w:rPr>
          <w:rFonts w:ascii="Arial" w:hAnsi="Arial" w:hint="cs"/>
          <w:b/>
          <w:bCs/>
          <w:noProof w:val="0"/>
          <w:sz w:val="28"/>
          <w:szCs w:val="28"/>
          <w:u w:val="single"/>
          <w:rtl/>
        </w:rPr>
        <w:t>סיכום ביניים</w:t>
      </w:r>
    </w:p>
    <w:p w:rsidR="00D83A87" w:rsidRDefault="0030624F" w:rsidP="00DF249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עד כאן הובאו נימוקים ושיקולים המבוססים על לשון החקיקה ותולדותיה, אשר מ</w:t>
      </w:r>
      <w:r w:rsidR="00C452BD">
        <w:rPr>
          <w:rFonts w:ascii="Arial" w:hAnsi="Arial" w:hint="cs"/>
          <w:noProof w:val="0"/>
          <w:sz w:val="26"/>
          <w:szCs w:val="26"/>
          <w:rtl/>
        </w:rPr>
        <w:t>ובילים למסקנה כי תקנה 12</w:t>
      </w:r>
      <w:r>
        <w:rPr>
          <w:rFonts w:ascii="Arial" w:hAnsi="Arial" w:hint="cs"/>
          <w:noProof w:val="0"/>
          <w:sz w:val="26"/>
          <w:szCs w:val="26"/>
          <w:rtl/>
        </w:rPr>
        <w:t xml:space="preserve"> איננה חלה על תושב חוזר ותיק. </w:t>
      </w:r>
    </w:p>
    <w:p w:rsidR="00DF249D" w:rsidRDefault="00DF249D" w:rsidP="00DF249D">
      <w:pPr>
        <w:pStyle w:val="ad"/>
        <w:spacing w:line="360" w:lineRule="auto"/>
        <w:ind w:left="587"/>
        <w:jc w:val="both"/>
        <w:rPr>
          <w:rFonts w:ascii="Arial" w:hAnsi="Arial"/>
          <w:noProof w:val="0"/>
          <w:sz w:val="26"/>
          <w:szCs w:val="26"/>
        </w:rPr>
      </w:pPr>
    </w:p>
    <w:p w:rsidR="0030624F" w:rsidRDefault="00DF249D" w:rsidP="00DF249D">
      <w:pPr>
        <w:pStyle w:val="ad"/>
        <w:numPr>
          <w:ilvl w:val="0"/>
          <w:numId w:val="1"/>
        </w:numPr>
        <w:spacing w:line="360" w:lineRule="auto"/>
        <w:jc w:val="both"/>
        <w:rPr>
          <w:rFonts w:ascii="Arial" w:hAnsi="Arial"/>
          <w:b/>
          <w:bCs/>
          <w:noProof w:val="0"/>
          <w:sz w:val="32"/>
          <w:szCs w:val="32"/>
          <w:u w:val="single"/>
        </w:rPr>
      </w:pPr>
      <w:r w:rsidRPr="00DF249D">
        <w:rPr>
          <w:rFonts w:ascii="Arial" w:hAnsi="Arial" w:hint="cs"/>
          <w:b/>
          <w:bCs/>
          <w:noProof w:val="0"/>
          <w:sz w:val="32"/>
          <w:szCs w:val="32"/>
          <w:u w:val="single"/>
          <w:rtl/>
        </w:rPr>
        <w:t>שימוש "עקיף" בסמכות השר לפי תקנה 12(א)(2)</w:t>
      </w:r>
    </w:p>
    <w:p w:rsidR="00DF249D" w:rsidRDefault="00DF249D" w:rsidP="00DF249D">
      <w:pPr>
        <w:pStyle w:val="ad"/>
        <w:numPr>
          <w:ilvl w:val="0"/>
          <w:numId w:val="2"/>
        </w:numPr>
        <w:spacing w:line="360" w:lineRule="auto"/>
        <w:ind w:left="587"/>
        <w:jc w:val="both"/>
        <w:rPr>
          <w:rFonts w:ascii="Arial" w:hAnsi="Arial"/>
          <w:noProof w:val="0"/>
          <w:sz w:val="26"/>
          <w:szCs w:val="26"/>
          <w:rtl/>
        </w:rPr>
      </w:pPr>
      <w:r>
        <w:rPr>
          <w:rFonts w:ascii="Arial" w:hAnsi="Arial" w:hint="cs"/>
          <w:noProof w:val="0"/>
          <w:sz w:val="26"/>
          <w:szCs w:val="26"/>
          <w:rtl/>
        </w:rPr>
        <w:t xml:space="preserve">העוררים ניסו לטעון כי "השוואות הדין" שנעשו </w:t>
      </w:r>
      <w:r w:rsidRPr="00DF249D">
        <w:rPr>
          <w:rFonts w:ascii="Arial" w:hAnsi="Arial" w:hint="cs"/>
          <w:b/>
          <w:bCs/>
          <w:noProof w:val="0"/>
          <w:sz w:val="26"/>
          <w:szCs w:val="26"/>
          <w:rtl/>
        </w:rPr>
        <w:t>בחיקוקים אחרים</w:t>
      </w:r>
      <w:r>
        <w:rPr>
          <w:rFonts w:ascii="Arial" w:hAnsi="Arial" w:hint="cs"/>
          <w:noProof w:val="0"/>
          <w:sz w:val="26"/>
          <w:szCs w:val="26"/>
          <w:rtl/>
        </w:rPr>
        <w:t>, כגון בסעיף 14 לפקודה בעקבות תיקון מס' 168 הנ"ל, הן</w:t>
      </w:r>
      <w:r w:rsidR="00674581">
        <w:rPr>
          <w:rFonts w:ascii="Arial" w:hAnsi="Arial" w:hint="cs"/>
          <w:noProof w:val="0"/>
          <w:sz w:val="26"/>
          <w:szCs w:val="26"/>
          <w:rtl/>
        </w:rPr>
        <w:t xml:space="preserve"> מהוות</w:t>
      </w:r>
      <w:r>
        <w:rPr>
          <w:rFonts w:ascii="Arial" w:hAnsi="Arial" w:hint="cs"/>
          <w:noProof w:val="0"/>
          <w:sz w:val="26"/>
          <w:szCs w:val="26"/>
          <w:rtl/>
        </w:rPr>
        <w:t xml:space="preserve"> למעשה </w:t>
      </w:r>
      <w:r w:rsidRPr="00DF249D">
        <w:rPr>
          <w:rFonts w:ascii="Arial" w:hAnsi="Arial" w:hint="cs"/>
          <w:b/>
          <w:bCs/>
          <w:noProof w:val="0"/>
          <w:sz w:val="26"/>
          <w:szCs w:val="26"/>
          <w:rtl/>
        </w:rPr>
        <w:t>קביעות שר האוצר</w:t>
      </w:r>
      <w:r>
        <w:rPr>
          <w:rFonts w:ascii="Arial" w:hAnsi="Arial" w:hint="cs"/>
          <w:noProof w:val="0"/>
          <w:sz w:val="26"/>
          <w:szCs w:val="26"/>
          <w:rtl/>
        </w:rPr>
        <w:t xml:space="preserve"> של</w:t>
      </w:r>
      <w:r w:rsidR="00C452BD">
        <w:rPr>
          <w:rFonts w:ascii="Arial" w:hAnsi="Arial" w:hint="cs"/>
          <w:noProof w:val="0"/>
          <w:sz w:val="26"/>
          <w:szCs w:val="26"/>
          <w:rtl/>
        </w:rPr>
        <w:t xml:space="preserve"> </w:t>
      </w:r>
      <w:r>
        <w:rPr>
          <w:rFonts w:ascii="Arial" w:hAnsi="Arial" w:hint="cs"/>
          <w:noProof w:val="0"/>
          <w:sz w:val="26"/>
          <w:szCs w:val="26"/>
          <w:rtl/>
        </w:rPr>
        <w:t xml:space="preserve"> </w:t>
      </w:r>
      <w:r w:rsidR="00C452BD">
        <w:rPr>
          <w:rFonts w:ascii="Arial" w:hAnsi="Arial" w:hint="cs"/>
          <w:noProof w:val="0"/>
          <w:sz w:val="26"/>
          <w:szCs w:val="26"/>
          <w:rtl/>
        </w:rPr>
        <w:t>"</w:t>
      </w:r>
      <w:r>
        <w:rPr>
          <w:rFonts w:ascii="Arial" w:hAnsi="Arial" w:hint="cs"/>
          <w:noProof w:val="0"/>
          <w:sz w:val="26"/>
          <w:szCs w:val="26"/>
          <w:rtl/>
        </w:rPr>
        <w:t xml:space="preserve">סוגי בני-אדם שדינם כדין עולה", </w:t>
      </w:r>
      <w:r w:rsidR="00A13F33">
        <w:rPr>
          <w:rFonts w:ascii="Arial" w:hAnsi="Arial" w:hint="cs"/>
          <w:noProof w:val="0"/>
          <w:sz w:val="26"/>
          <w:szCs w:val="26"/>
          <w:rtl/>
        </w:rPr>
        <w:t>לעניין</w:t>
      </w:r>
      <w:r>
        <w:rPr>
          <w:rFonts w:ascii="Arial" w:hAnsi="Arial" w:hint="cs"/>
          <w:noProof w:val="0"/>
          <w:sz w:val="26"/>
          <w:szCs w:val="26"/>
          <w:rtl/>
        </w:rPr>
        <w:t xml:space="preserve"> תקנה 12(א)(2). מכיוון שכך, אותם סוגי אדם, וביניהם תושב חוזר ותיק, הם </w:t>
      </w:r>
      <w:r w:rsidRPr="00EB241C">
        <w:rPr>
          <w:rFonts w:asciiTheme="majorBidi" w:hAnsiTheme="majorBidi" w:cstheme="majorBidi"/>
          <w:noProof w:val="0"/>
        </w:rPr>
        <w:t>ipso facto</w:t>
      </w:r>
      <w:r w:rsidRPr="00EB241C">
        <w:rPr>
          <w:rFonts w:asciiTheme="majorBidi" w:hAnsiTheme="majorBidi" w:cstheme="majorBidi"/>
          <w:noProof w:val="0"/>
          <w:rtl/>
        </w:rPr>
        <w:t xml:space="preserve"> </w:t>
      </w:r>
      <w:r>
        <w:rPr>
          <w:rFonts w:ascii="Arial" w:hAnsi="Arial" w:hint="cs"/>
          <w:noProof w:val="0"/>
          <w:sz w:val="26"/>
          <w:szCs w:val="26"/>
          <w:rtl/>
        </w:rPr>
        <w:t>"עולים" לעניין תקנה 12. בבסיס טיעון  זה עומד השימוש שנעשה בתקנה 12(א)(2)  בשנת 1992 (ראו סעיף</w:t>
      </w:r>
      <w:r w:rsidR="002B49A8">
        <w:rPr>
          <w:rFonts w:ascii="Arial" w:hAnsi="Arial" w:hint="cs"/>
          <w:noProof w:val="0"/>
          <w:sz w:val="26"/>
          <w:szCs w:val="26"/>
          <w:rtl/>
        </w:rPr>
        <w:t xml:space="preserve"> 11 </w:t>
      </w:r>
      <w:r w:rsidR="00A13F33">
        <w:rPr>
          <w:rFonts w:ascii="Arial" w:hAnsi="Arial" w:hint="cs"/>
          <w:noProof w:val="0"/>
          <w:sz w:val="26"/>
          <w:szCs w:val="26"/>
          <w:rtl/>
        </w:rPr>
        <w:t xml:space="preserve">לעיל), </w:t>
      </w:r>
      <w:r>
        <w:rPr>
          <w:rFonts w:ascii="Arial" w:hAnsi="Arial" w:hint="cs"/>
          <w:noProof w:val="0"/>
          <w:sz w:val="26"/>
          <w:szCs w:val="26"/>
          <w:rtl/>
        </w:rPr>
        <w:t>אז הורחבה תחולתה של תקנה 12 גם  לעולה "שנכנס בשנית לישראל", בהתקיים התנאים המפורטים בהודעת שר האו</w:t>
      </w:r>
      <w:r w:rsidR="00A13F33">
        <w:rPr>
          <w:rFonts w:ascii="Arial" w:hAnsi="Arial" w:hint="cs"/>
          <w:noProof w:val="0"/>
          <w:sz w:val="26"/>
          <w:szCs w:val="26"/>
          <w:rtl/>
        </w:rPr>
        <w:t>צ</w:t>
      </w:r>
      <w:r>
        <w:rPr>
          <w:rFonts w:ascii="Arial" w:hAnsi="Arial" w:hint="cs"/>
          <w:noProof w:val="0"/>
          <w:sz w:val="26"/>
          <w:szCs w:val="26"/>
          <w:rtl/>
        </w:rPr>
        <w:t xml:space="preserve">ר. </w:t>
      </w:r>
    </w:p>
    <w:p w:rsidR="00DF249D" w:rsidRDefault="00DF249D" w:rsidP="00DF249D">
      <w:pPr>
        <w:pStyle w:val="ad"/>
        <w:spacing w:line="360" w:lineRule="auto"/>
        <w:ind w:left="587"/>
        <w:jc w:val="both"/>
        <w:rPr>
          <w:rFonts w:ascii="Arial" w:hAnsi="Arial"/>
          <w:noProof w:val="0"/>
          <w:sz w:val="26"/>
          <w:szCs w:val="26"/>
          <w:rtl/>
        </w:rPr>
      </w:pPr>
    </w:p>
    <w:p w:rsidR="00DF249D" w:rsidRDefault="00A13F33" w:rsidP="00DF249D">
      <w:pPr>
        <w:pStyle w:val="ad"/>
        <w:spacing w:line="360" w:lineRule="auto"/>
        <w:ind w:left="587"/>
        <w:jc w:val="both"/>
        <w:rPr>
          <w:rFonts w:ascii="Arial" w:hAnsi="Arial"/>
          <w:noProof w:val="0"/>
          <w:sz w:val="26"/>
          <w:szCs w:val="26"/>
          <w:rtl/>
        </w:rPr>
      </w:pPr>
      <w:r>
        <w:rPr>
          <w:rFonts w:ascii="Arial" w:hAnsi="Arial" w:hint="cs"/>
          <w:noProof w:val="0"/>
          <w:sz w:val="26"/>
          <w:szCs w:val="26"/>
          <w:rtl/>
        </w:rPr>
        <w:t>בנושא זה</w:t>
      </w:r>
      <w:r w:rsidR="00DF249D">
        <w:rPr>
          <w:rFonts w:ascii="Arial" w:hAnsi="Arial" w:hint="cs"/>
          <w:noProof w:val="0"/>
          <w:sz w:val="26"/>
          <w:szCs w:val="26"/>
          <w:rtl/>
        </w:rPr>
        <w:t xml:space="preserve"> גורסים העוררים כי:</w:t>
      </w:r>
    </w:p>
    <w:p w:rsidR="00DF249D" w:rsidRDefault="00DF249D" w:rsidP="00DF249D">
      <w:pPr>
        <w:pStyle w:val="ad"/>
        <w:spacing w:line="360" w:lineRule="auto"/>
        <w:ind w:left="587"/>
        <w:jc w:val="both"/>
        <w:rPr>
          <w:rFonts w:ascii="Arial" w:hAnsi="Arial"/>
          <w:noProof w:val="0"/>
          <w:sz w:val="26"/>
          <w:szCs w:val="26"/>
          <w:rtl/>
        </w:rPr>
      </w:pPr>
    </w:p>
    <w:p w:rsidR="00DF249D" w:rsidRDefault="00DF249D" w:rsidP="00DF249D">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"הדבר</w:t>
      </w:r>
      <w:r w:rsidR="00A13F33">
        <w:rPr>
          <w:rFonts w:ascii="Arial" w:hAnsi="Arial" w:hint="cs"/>
          <w:b/>
          <w:bCs/>
          <w:noProof w:val="0"/>
          <w:sz w:val="26"/>
          <w:szCs w:val="26"/>
          <w:rtl/>
        </w:rPr>
        <w:t xml:space="preserve"> </w:t>
      </w:r>
      <w:r w:rsidR="00A13F33" w:rsidRPr="00A13F33">
        <w:rPr>
          <w:rFonts w:ascii="Arial" w:hAnsi="Arial" w:hint="cs"/>
          <w:noProof w:val="0"/>
          <w:sz w:val="26"/>
          <w:szCs w:val="26"/>
          <w:rtl/>
        </w:rPr>
        <w:t xml:space="preserve">[הודעת השר משנת 1992 </w:t>
      </w:r>
      <w:r w:rsidR="00A13F33" w:rsidRPr="00A13F33">
        <w:rPr>
          <w:rFonts w:ascii="Arial" w:hAnsi="Arial"/>
          <w:noProof w:val="0"/>
          <w:sz w:val="26"/>
          <w:szCs w:val="26"/>
          <w:rtl/>
        </w:rPr>
        <w:t>–</w:t>
      </w:r>
      <w:r w:rsidR="00A13F33" w:rsidRPr="00A13F33">
        <w:rPr>
          <w:rFonts w:ascii="Arial" w:hAnsi="Arial" w:hint="cs"/>
          <w:noProof w:val="0"/>
          <w:sz w:val="26"/>
          <w:szCs w:val="26"/>
          <w:rtl/>
        </w:rPr>
        <w:t xml:space="preserve"> ה"ק]</w:t>
      </w:r>
      <w:r>
        <w:rPr>
          <w:rFonts w:ascii="Arial" w:hAnsi="Arial" w:hint="cs"/>
          <w:b/>
          <w:bCs/>
          <w:noProof w:val="0"/>
          <w:sz w:val="26"/>
          <w:szCs w:val="26"/>
          <w:rtl/>
        </w:rPr>
        <w:t xml:space="preserve"> מאפשר גם פתח לפירוש מרחיב של הקביעה והתקנה ככוללת מכללא, גם 'תושב חוזר ותיק' שהוא בפועל גם 'מי שנכנס לישראל בשנית' גם אם שהותו הראשונה בישראל לא הייתה למטרות שירות צבאי או מרצה אורח או מומחה חוץ, ובלבד שבמסגרת 'שהותו הראשונה בישראל' לא רכש זכות במקרקעין בפטור ממס רכישה מכח תקנה 12 (תנאי המתקיים אצל העור</w:t>
      </w:r>
      <w:r w:rsidR="00674581">
        <w:rPr>
          <w:rFonts w:ascii="Arial" w:hAnsi="Arial" w:hint="cs"/>
          <w:b/>
          <w:bCs/>
          <w:noProof w:val="0"/>
          <w:sz w:val="26"/>
          <w:szCs w:val="26"/>
          <w:rtl/>
        </w:rPr>
        <w:t>רי</w:t>
      </w:r>
      <w:r>
        <w:rPr>
          <w:rFonts w:ascii="Arial" w:hAnsi="Arial" w:hint="cs"/>
          <w:b/>
          <w:bCs/>
          <w:noProof w:val="0"/>
          <w:sz w:val="26"/>
          <w:szCs w:val="26"/>
          <w:rtl/>
        </w:rPr>
        <w:t xml:space="preserve">ם), וזאת לאור תיקוני החקיקה דלעיל. </w:t>
      </w:r>
    </w:p>
    <w:p w:rsidR="00DF249D" w:rsidRDefault="00DF249D" w:rsidP="00DF249D">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w:t>
      </w:r>
    </w:p>
    <w:p w:rsidR="00DF249D" w:rsidRDefault="00DF249D" w:rsidP="00DF249D">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 לא נאמר בתקנה 12(א)(2) שקביעת 'סוגי בני האד</w:t>
      </w:r>
      <w:r w:rsidR="00674581">
        <w:rPr>
          <w:rFonts w:ascii="Arial" w:hAnsi="Arial" w:hint="cs"/>
          <w:b/>
          <w:bCs/>
          <w:noProof w:val="0"/>
          <w:sz w:val="26"/>
          <w:szCs w:val="26"/>
          <w:rtl/>
        </w:rPr>
        <w:t>ם' צריכה להיעשות במסגרת תקנה 12</w:t>
      </w:r>
      <w:r>
        <w:rPr>
          <w:rFonts w:ascii="Arial" w:hAnsi="Arial" w:hint="cs"/>
          <w:b/>
          <w:bCs/>
          <w:noProof w:val="0"/>
          <w:sz w:val="26"/>
          <w:szCs w:val="26"/>
          <w:rtl/>
        </w:rPr>
        <w:t xml:space="preserve"> לתקנות מיסוי מקרקעין עצמה. </w:t>
      </w:r>
    </w:p>
    <w:p w:rsidR="00674581" w:rsidRDefault="00674581" w:rsidP="00DF249D">
      <w:pPr>
        <w:pStyle w:val="ad"/>
        <w:spacing w:line="360" w:lineRule="auto"/>
        <w:ind w:left="1134" w:right="567"/>
        <w:jc w:val="both"/>
        <w:rPr>
          <w:rFonts w:ascii="Arial" w:hAnsi="Arial"/>
          <w:b/>
          <w:bCs/>
          <w:noProof w:val="0"/>
          <w:sz w:val="26"/>
          <w:szCs w:val="26"/>
          <w:rtl/>
        </w:rPr>
      </w:pPr>
    </w:p>
    <w:p w:rsidR="00DF249D" w:rsidRDefault="00DF249D" w:rsidP="00DF249D">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ומאליו גם לא נאמר בתקנה 12(א)(2) שקביעת 'סוגי בני האדם' שדינם כדין עולה, לא יכולה להתבצע במסגרת תקנה אחרת או חוק אחר. מכאן ש'</w:t>
      </w:r>
      <w:r w:rsidR="00674581">
        <w:rPr>
          <w:rFonts w:ascii="Arial" w:hAnsi="Arial" w:hint="cs"/>
          <w:b/>
          <w:bCs/>
          <w:noProof w:val="0"/>
          <w:sz w:val="26"/>
          <w:szCs w:val="26"/>
          <w:rtl/>
        </w:rPr>
        <w:t>קביעה' יכולה להיעשות באמצעות תי</w:t>
      </w:r>
      <w:r>
        <w:rPr>
          <w:rFonts w:ascii="Arial" w:hAnsi="Arial" w:hint="cs"/>
          <w:b/>
          <w:bCs/>
          <w:noProof w:val="0"/>
          <w:sz w:val="26"/>
          <w:szCs w:val="26"/>
          <w:rtl/>
        </w:rPr>
        <w:t xml:space="preserve">קון חקיקה ראשית כגון חוק מיסוי מקרקעין ו/או פקודת מס הכנסה עליהם חתום שר האוצר במסגרת תיקון שנעשה בחוק מיסוי מקרקעין והתיקונים 168 ו- 132 בפק' מס הכנסה. </w:t>
      </w:r>
    </w:p>
    <w:p w:rsidR="00674581" w:rsidRDefault="00674581" w:rsidP="00DF249D">
      <w:pPr>
        <w:pStyle w:val="ad"/>
        <w:spacing w:line="360" w:lineRule="auto"/>
        <w:ind w:left="1134" w:right="567"/>
        <w:jc w:val="both"/>
        <w:rPr>
          <w:rFonts w:ascii="Arial" w:hAnsi="Arial"/>
          <w:b/>
          <w:bCs/>
          <w:noProof w:val="0"/>
          <w:sz w:val="26"/>
          <w:szCs w:val="26"/>
          <w:rtl/>
        </w:rPr>
      </w:pPr>
    </w:p>
    <w:p w:rsidR="00DF249D" w:rsidRPr="00D36BEA" w:rsidRDefault="00DF249D" w:rsidP="00DF249D">
      <w:pPr>
        <w:pStyle w:val="ad"/>
        <w:spacing w:line="360" w:lineRule="auto"/>
        <w:ind w:left="1134" w:right="567"/>
        <w:jc w:val="both"/>
        <w:rPr>
          <w:rFonts w:ascii="Arial" w:hAnsi="Arial"/>
          <w:b/>
          <w:bCs/>
          <w:noProof w:val="0"/>
          <w:sz w:val="26"/>
          <w:szCs w:val="26"/>
          <w:rtl/>
        </w:rPr>
      </w:pPr>
      <w:r>
        <w:rPr>
          <w:rFonts w:ascii="Arial" w:hAnsi="Arial" w:hint="cs"/>
          <w:b/>
          <w:bCs/>
          <w:noProof w:val="0"/>
          <w:sz w:val="26"/>
          <w:szCs w:val="26"/>
          <w:rtl/>
        </w:rPr>
        <w:t>ולכן לאור תיקון 168 ולאור תיקוני ההגדרות האחרים שהובאו לעיל, ומתכלית חקיקתם אנו למדים שגם 'תושב חוזר ותיק' הינו אותו 'סוגי בני אדם' שדינם כדין 'עולה' וגם לעניין תקנה 12 לחוק מיסוי מקרקעין."</w:t>
      </w:r>
    </w:p>
    <w:p w:rsidR="00DF249D" w:rsidRDefault="00DF249D" w:rsidP="00DF249D">
      <w:pPr>
        <w:pStyle w:val="ad"/>
        <w:spacing w:line="360" w:lineRule="auto"/>
        <w:ind w:left="1001" w:firstLine="133"/>
        <w:jc w:val="both"/>
        <w:rPr>
          <w:rFonts w:ascii="Arial" w:hAnsi="Arial"/>
          <w:noProof w:val="0"/>
          <w:sz w:val="26"/>
          <w:szCs w:val="26"/>
          <w:rtl/>
        </w:rPr>
      </w:pPr>
      <w:r>
        <w:rPr>
          <w:rFonts w:ascii="Arial" w:hAnsi="Arial" w:hint="cs"/>
          <w:noProof w:val="0"/>
          <w:sz w:val="26"/>
          <w:szCs w:val="26"/>
          <w:rtl/>
        </w:rPr>
        <w:t>(מתוך סעיפים 45, 47, 48 ו- 49 לסיכומי העוררים)</w:t>
      </w:r>
    </w:p>
    <w:p w:rsidR="00DF249D" w:rsidRDefault="00DF249D" w:rsidP="00DF249D">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 </w:t>
      </w:r>
    </w:p>
    <w:p w:rsidR="00DF249D" w:rsidRDefault="00DF249D" w:rsidP="00DF249D">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אין בידי לקבל טיעון זה. להבנתי הפעלת סמכות שר האו</w:t>
      </w:r>
      <w:r w:rsidR="00674581">
        <w:rPr>
          <w:rFonts w:ascii="Arial" w:hAnsi="Arial" w:hint="cs"/>
          <w:noProof w:val="0"/>
          <w:sz w:val="26"/>
          <w:szCs w:val="26"/>
          <w:rtl/>
        </w:rPr>
        <w:t>צ</w:t>
      </w:r>
      <w:r>
        <w:rPr>
          <w:rFonts w:ascii="Arial" w:hAnsi="Arial" w:hint="cs"/>
          <w:noProof w:val="0"/>
          <w:sz w:val="26"/>
          <w:szCs w:val="26"/>
          <w:rtl/>
        </w:rPr>
        <w:t xml:space="preserve">ר על פי תקנה 12(א)(2) חייבת להיעשות באופן ייעודי ומפורש </w:t>
      </w:r>
      <w:r>
        <w:rPr>
          <w:rFonts w:ascii="Arial" w:hAnsi="Arial"/>
          <w:noProof w:val="0"/>
          <w:sz w:val="26"/>
          <w:szCs w:val="26"/>
          <w:rtl/>
        </w:rPr>
        <w:t>–</w:t>
      </w:r>
      <w:r>
        <w:rPr>
          <w:rFonts w:ascii="Arial" w:hAnsi="Arial" w:hint="cs"/>
          <w:noProof w:val="0"/>
          <w:sz w:val="26"/>
          <w:szCs w:val="26"/>
          <w:rtl/>
        </w:rPr>
        <w:t xml:space="preserve"> כפי שאכן נעשה בשנת 1992 ("בתוקף סמכותי לפי תקנה 12(א)(2)..."). מימוש הסכמות איננו אמור להיות  עקיף או משתמע. </w:t>
      </w:r>
    </w:p>
    <w:p w:rsidR="00DF249D" w:rsidRDefault="00DF249D" w:rsidP="00DF249D">
      <w:pPr>
        <w:pStyle w:val="ad"/>
        <w:spacing w:line="360" w:lineRule="auto"/>
        <w:ind w:left="587"/>
        <w:jc w:val="both"/>
        <w:rPr>
          <w:rFonts w:ascii="Arial" w:hAnsi="Arial"/>
          <w:noProof w:val="0"/>
          <w:sz w:val="26"/>
          <w:szCs w:val="26"/>
          <w:rtl/>
        </w:rPr>
      </w:pPr>
    </w:p>
    <w:p w:rsidR="00DF249D" w:rsidRDefault="00DF249D" w:rsidP="00DF249D">
      <w:pPr>
        <w:pStyle w:val="ad"/>
        <w:spacing w:line="360" w:lineRule="auto"/>
        <w:ind w:left="587"/>
        <w:jc w:val="both"/>
        <w:rPr>
          <w:rFonts w:ascii="Arial" w:hAnsi="Arial"/>
          <w:noProof w:val="0"/>
          <w:sz w:val="26"/>
          <w:szCs w:val="26"/>
          <w:rtl/>
        </w:rPr>
      </w:pPr>
      <w:r>
        <w:rPr>
          <w:rFonts w:ascii="Arial" w:hAnsi="Arial" w:hint="cs"/>
          <w:noProof w:val="0"/>
          <w:sz w:val="26"/>
          <w:szCs w:val="26"/>
          <w:rtl/>
        </w:rPr>
        <w:t>כמו כן, הפעלת סמכות</w:t>
      </w:r>
      <w:r w:rsidR="005C17FD">
        <w:rPr>
          <w:rFonts w:ascii="Arial" w:hAnsi="Arial" w:hint="cs"/>
          <w:noProof w:val="0"/>
          <w:sz w:val="26"/>
          <w:szCs w:val="26"/>
          <w:rtl/>
        </w:rPr>
        <w:t>ו של</w:t>
      </w:r>
      <w:r>
        <w:rPr>
          <w:rFonts w:ascii="Arial" w:hAnsi="Arial" w:hint="cs"/>
          <w:noProof w:val="0"/>
          <w:sz w:val="26"/>
          <w:szCs w:val="26"/>
          <w:rtl/>
        </w:rPr>
        <w:t xml:space="preserve"> שר האוצר </w:t>
      </w:r>
      <w:r>
        <w:rPr>
          <w:rFonts w:ascii="Arial" w:hAnsi="Arial"/>
          <w:noProof w:val="0"/>
          <w:sz w:val="26"/>
          <w:szCs w:val="26"/>
          <w:rtl/>
        </w:rPr>
        <w:t>–</w:t>
      </w:r>
      <w:r>
        <w:rPr>
          <w:rFonts w:ascii="Arial" w:hAnsi="Arial" w:hint="cs"/>
          <w:noProof w:val="0"/>
          <w:sz w:val="26"/>
          <w:szCs w:val="26"/>
          <w:rtl/>
        </w:rPr>
        <w:t xml:space="preserve"> שהיא חלק מהרשות המבצעת (הממשלה) </w:t>
      </w:r>
      <w:r>
        <w:rPr>
          <w:rFonts w:ascii="Arial" w:hAnsi="Arial"/>
          <w:noProof w:val="0"/>
          <w:sz w:val="26"/>
          <w:szCs w:val="26"/>
          <w:rtl/>
        </w:rPr>
        <w:t>–</w:t>
      </w:r>
      <w:r>
        <w:rPr>
          <w:rFonts w:ascii="Arial" w:hAnsi="Arial" w:hint="cs"/>
          <w:noProof w:val="0"/>
          <w:sz w:val="26"/>
          <w:szCs w:val="26"/>
          <w:rtl/>
        </w:rPr>
        <w:t xml:space="preserve"> איננה יכולה לה</w:t>
      </w:r>
      <w:r w:rsidR="005C17FD">
        <w:rPr>
          <w:rFonts w:ascii="Arial" w:hAnsi="Arial" w:hint="cs"/>
          <w:noProof w:val="0"/>
          <w:sz w:val="26"/>
          <w:szCs w:val="26"/>
          <w:rtl/>
        </w:rPr>
        <w:t>י</w:t>
      </w:r>
      <w:r>
        <w:rPr>
          <w:rFonts w:ascii="Arial" w:hAnsi="Arial" w:hint="cs"/>
          <w:noProof w:val="0"/>
          <w:sz w:val="26"/>
          <w:szCs w:val="26"/>
          <w:rtl/>
        </w:rPr>
        <w:t>עשות על ידי הרשות המחוקקת (הכנסת), למשל (בעקיפין ובמשתמע) דרך תיק</w:t>
      </w:r>
      <w:r w:rsidR="00674581">
        <w:rPr>
          <w:rFonts w:ascii="Arial" w:hAnsi="Arial" w:hint="cs"/>
          <w:noProof w:val="0"/>
          <w:sz w:val="26"/>
          <w:szCs w:val="26"/>
          <w:rtl/>
        </w:rPr>
        <w:t>ון פקודת מס הכנסה, או אפילו תיקון חוק מיסוי מקרקעין עצמו</w:t>
      </w:r>
      <w:r>
        <w:rPr>
          <w:rFonts w:ascii="Arial" w:hAnsi="Arial" w:hint="cs"/>
          <w:noProof w:val="0"/>
          <w:sz w:val="26"/>
          <w:szCs w:val="26"/>
          <w:rtl/>
        </w:rPr>
        <w:t>.</w:t>
      </w:r>
    </w:p>
    <w:p w:rsidR="00DF249D" w:rsidRDefault="00DF249D" w:rsidP="00DF249D">
      <w:pPr>
        <w:pStyle w:val="ad"/>
        <w:spacing w:line="360" w:lineRule="auto"/>
        <w:ind w:left="587"/>
        <w:jc w:val="both"/>
        <w:rPr>
          <w:rFonts w:ascii="Arial" w:hAnsi="Arial"/>
          <w:noProof w:val="0"/>
          <w:sz w:val="26"/>
          <w:szCs w:val="26"/>
          <w:rtl/>
        </w:rPr>
      </w:pPr>
    </w:p>
    <w:p w:rsidR="00DF249D" w:rsidRDefault="00DF249D" w:rsidP="00DF249D">
      <w:pPr>
        <w:pStyle w:val="ad"/>
        <w:spacing w:line="360" w:lineRule="auto"/>
        <w:ind w:left="587"/>
        <w:jc w:val="both"/>
        <w:rPr>
          <w:rFonts w:ascii="Arial" w:hAnsi="Arial"/>
          <w:noProof w:val="0"/>
          <w:sz w:val="26"/>
          <w:szCs w:val="26"/>
          <w:rtl/>
        </w:rPr>
      </w:pPr>
      <w:r>
        <w:rPr>
          <w:rFonts w:ascii="Arial" w:hAnsi="Arial" w:hint="cs"/>
          <w:noProof w:val="0"/>
          <w:sz w:val="26"/>
          <w:szCs w:val="26"/>
          <w:rtl/>
        </w:rPr>
        <w:t>ובנוסף, מעשי החקיקה אלי</w:t>
      </w:r>
      <w:r w:rsidR="00674581">
        <w:rPr>
          <w:rFonts w:ascii="Arial" w:hAnsi="Arial" w:hint="cs"/>
          <w:noProof w:val="0"/>
          <w:sz w:val="26"/>
          <w:szCs w:val="26"/>
          <w:rtl/>
        </w:rPr>
        <w:t>הם מפנים העוררים, כאילו הם בבחינ</w:t>
      </w:r>
      <w:r>
        <w:rPr>
          <w:rFonts w:ascii="Arial" w:hAnsi="Arial" w:hint="cs"/>
          <w:noProof w:val="0"/>
          <w:sz w:val="26"/>
          <w:szCs w:val="26"/>
          <w:rtl/>
        </w:rPr>
        <w:t>ת קביעות שר האוצר לפי תקנה 12(א)(2)</w:t>
      </w:r>
      <w:r w:rsidR="00674581">
        <w:rPr>
          <w:rFonts w:ascii="Arial" w:hAnsi="Arial" w:hint="cs"/>
          <w:noProof w:val="0"/>
          <w:sz w:val="26"/>
          <w:szCs w:val="26"/>
          <w:rtl/>
        </w:rPr>
        <w:t>,</w:t>
      </w:r>
      <w:r>
        <w:rPr>
          <w:rFonts w:ascii="Arial" w:hAnsi="Arial" w:hint="cs"/>
          <w:noProof w:val="0"/>
          <w:sz w:val="26"/>
          <w:szCs w:val="26"/>
          <w:rtl/>
        </w:rPr>
        <w:t xml:space="preserve"> ממילא </w:t>
      </w:r>
      <w:r>
        <w:rPr>
          <w:rFonts w:ascii="Arial" w:hAnsi="Arial" w:hint="cs"/>
          <w:b/>
          <w:bCs/>
          <w:noProof w:val="0"/>
          <w:sz w:val="26"/>
          <w:szCs w:val="26"/>
          <w:rtl/>
        </w:rPr>
        <w:t>לא קבעו</w:t>
      </w:r>
      <w:r>
        <w:rPr>
          <w:rFonts w:ascii="Arial" w:hAnsi="Arial" w:hint="cs"/>
          <w:noProof w:val="0"/>
          <w:sz w:val="26"/>
          <w:szCs w:val="26"/>
          <w:rtl/>
        </w:rPr>
        <w:t xml:space="preserve"> כי דין </w:t>
      </w:r>
      <w:r w:rsidR="00674581">
        <w:rPr>
          <w:rFonts w:ascii="Arial" w:hAnsi="Arial" w:hint="cs"/>
          <w:noProof w:val="0"/>
          <w:sz w:val="26"/>
          <w:szCs w:val="26"/>
          <w:rtl/>
        </w:rPr>
        <w:t>ת</w:t>
      </w:r>
      <w:r>
        <w:rPr>
          <w:rFonts w:ascii="Arial" w:hAnsi="Arial" w:hint="cs"/>
          <w:noProof w:val="0"/>
          <w:sz w:val="26"/>
          <w:szCs w:val="26"/>
          <w:rtl/>
        </w:rPr>
        <w:t xml:space="preserve">ושב חוזר ותיק כדין </w:t>
      </w:r>
      <w:r w:rsidRPr="005C17FD">
        <w:rPr>
          <w:rFonts w:ascii="Arial" w:hAnsi="Arial" w:hint="cs"/>
          <w:b/>
          <w:bCs/>
          <w:noProof w:val="0"/>
          <w:sz w:val="26"/>
          <w:szCs w:val="26"/>
          <w:rtl/>
        </w:rPr>
        <w:t>עולה</w:t>
      </w:r>
      <w:r>
        <w:rPr>
          <w:rFonts w:ascii="Arial" w:hAnsi="Arial" w:hint="cs"/>
          <w:noProof w:val="0"/>
          <w:sz w:val="26"/>
          <w:szCs w:val="26"/>
          <w:rtl/>
        </w:rPr>
        <w:t xml:space="preserve"> (שזו מהות הסמכות לפי תקנה 12(א)(2)</w:t>
      </w:r>
      <w:r w:rsidR="00674581">
        <w:rPr>
          <w:rFonts w:ascii="Arial" w:hAnsi="Arial" w:hint="cs"/>
          <w:noProof w:val="0"/>
          <w:sz w:val="26"/>
          <w:szCs w:val="26"/>
          <w:rtl/>
        </w:rPr>
        <w:t>), אלא</w:t>
      </w:r>
      <w:r>
        <w:rPr>
          <w:rFonts w:ascii="Arial" w:hAnsi="Arial" w:hint="cs"/>
          <w:noProof w:val="0"/>
          <w:sz w:val="26"/>
          <w:szCs w:val="26"/>
          <w:rtl/>
        </w:rPr>
        <w:t xml:space="preserve"> כי דין תושב חוזר ותיק כדין </w:t>
      </w:r>
      <w:r w:rsidRPr="00674581">
        <w:rPr>
          <w:rFonts w:ascii="Arial" w:hAnsi="Arial" w:hint="cs"/>
          <w:b/>
          <w:bCs/>
          <w:noProof w:val="0"/>
          <w:sz w:val="26"/>
          <w:szCs w:val="26"/>
          <w:rtl/>
        </w:rPr>
        <w:t>תושב ישראל לראשונה</w:t>
      </w:r>
      <w:r>
        <w:rPr>
          <w:rFonts w:ascii="Arial" w:hAnsi="Arial" w:hint="cs"/>
          <w:noProof w:val="0"/>
          <w:sz w:val="26"/>
          <w:szCs w:val="26"/>
          <w:rtl/>
        </w:rPr>
        <w:t>, והדברי</w:t>
      </w:r>
      <w:r w:rsidR="005C17FD">
        <w:rPr>
          <w:rFonts w:ascii="Arial" w:hAnsi="Arial" w:hint="cs"/>
          <w:noProof w:val="0"/>
          <w:sz w:val="26"/>
          <w:szCs w:val="26"/>
          <w:rtl/>
        </w:rPr>
        <w:t xml:space="preserve">ם אינם זהים, כפי שהוסבר </w:t>
      </w:r>
      <w:r>
        <w:rPr>
          <w:rFonts w:ascii="Arial" w:hAnsi="Arial" w:hint="cs"/>
          <w:noProof w:val="0"/>
          <w:sz w:val="26"/>
          <w:szCs w:val="26"/>
          <w:rtl/>
        </w:rPr>
        <w:t xml:space="preserve">לעיל. </w:t>
      </w:r>
    </w:p>
    <w:p w:rsidR="00DF249D" w:rsidRPr="00DF249D" w:rsidRDefault="00DF249D" w:rsidP="004A71FF">
      <w:pPr>
        <w:pStyle w:val="ad"/>
        <w:spacing w:line="360" w:lineRule="auto"/>
        <w:ind w:left="587"/>
        <w:jc w:val="both"/>
        <w:rPr>
          <w:rFonts w:ascii="Arial" w:hAnsi="Arial"/>
          <w:b/>
          <w:bCs/>
          <w:noProof w:val="0"/>
          <w:sz w:val="32"/>
          <w:szCs w:val="32"/>
          <w:u w:val="single"/>
          <w:rtl/>
        </w:rPr>
      </w:pPr>
    </w:p>
    <w:p w:rsidR="00694556" w:rsidRDefault="0030624F" w:rsidP="0030624F">
      <w:pPr>
        <w:pStyle w:val="ad"/>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ע</w:t>
      </w:r>
      <w:r w:rsidR="0005783D">
        <w:rPr>
          <w:rFonts w:ascii="Arial" w:hAnsi="Arial" w:hint="cs"/>
          <w:b/>
          <w:bCs/>
          <w:noProof w:val="0"/>
          <w:sz w:val="32"/>
          <w:szCs w:val="32"/>
          <w:u w:val="single"/>
          <w:rtl/>
        </w:rPr>
        <w:t>ל</w:t>
      </w:r>
      <w:r>
        <w:rPr>
          <w:rFonts w:ascii="Arial" w:hAnsi="Arial" w:hint="cs"/>
          <w:b/>
          <w:bCs/>
          <w:noProof w:val="0"/>
          <w:sz w:val="32"/>
          <w:szCs w:val="32"/>
          <w:u w:val="single"/>
          <w:rtl/>
        </w:rPr>
        <w:t xml:space="preserve"> הפרדת הרשויות </w:t>
      </w:r>
    </w:p>
    <w:p w:rsidR="0005783D" w:rsidRDefault="00B8035C" w:rsidP="00B8035C">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אכן ניתן </w:t>
      </w:r>
      <w:r w:rsidR="0030624F">
        <w:rPr>
          <w:rFonts w:ascii="Arial" w:hAnsi="Arial" w:hint="cs"/>
          <w:noProof w:val="0"/>
          <w:sz w:val="26"/>
          <w:szCs w:val="26"/>
          <w:rtl/>
        </w:rPr>
        <w:t xml:space="preserve">לומר כי ממשלות ישראל וכנסת ישראל ייחסו </w:t>
      </w:r>
      <w:r w:rsidR="000F7486">
        <w:rPr>
          <w:rFonts w:ascii="Arial" w:hAnsi="Arial" w:hint="cs"/>
          <w:noProof w:val="0"/>
          <w:sz w:val="26"/>
          <w:szCs w:val="26"/>
          <w:rtl/>
        </w:rPr>
        <w:t xml:space="preserve">חשיבות לשובם </w:t>
      </w:r>
      <w:r w:rsidR="0030624F">
        <w:rPr>
          <w:rFonts w:ascii="Arial" w:hAnsi="Arial" w:hint="cs"/>
          <w:noProof w:val="0"/>
          <w:sz w:val="26"/>
          <w:szCs w:val="26"/>
          <w:rtl/>
        </w:rPr>
        <w:t>ארצה של אזרחים אשר העתיקו בעבר את מקום מושבם מישראל למדינות אחרות. לשיבה כזו מיוחסת, כך נראה,  ערך כלכלי ואולי אף בטחוני</w:t>
      </w:r>
      <w:r>
        <w:rPr>
          <w:rFonts w:ascii="Arial" w:hAnsi="Arial" w:hint="cs"/>
          <w:noProof w:val="0"/>
          <w:sz w:val="26"/>
          <w:szCs w:val="26"/>
          <w:rtl/>
        </w:rPr>
        <w:t>, חברתי</w:t>
      </w:r>
      <w:r w:rsidR="0030624F">
        <w:rPr>
          <w:rFonts w:ascii="Arial" w:hAnsi="Arial" w:hint="cs"/>
          <w:noProof w:val="0"/>
          <w:sz w:val="26"/>
          <w:szCs w:val="26"/>
          <w:rtl/>
        </w:rPr>
        <w:t xml:space="preserve"> </w:t>
      </w:r>
      <w:r>
        <w:rPr>
          <w:rFonts w:ascii="Arial" w:hAnsi="Arial" w:hint="cs"/>
          <w:noProof w:val="0"/>
          <w:sz w:val="26"/>
          <w:szCs w:val="26"/>
          <w:rtl/>
        </w:rPr>
        <w:t>ו</w:t>
      </w:r>
      <w:r w:rsidR="0030624F">
        <w:rPr>
          <w:rFonts w:ascii="Arial" w:hAnsi="Arial" w:hint="cs"/>
          <w:noProof w:val="0"/>
          <w:sz w:val="26"/>
          <w:szCs w:val="26"/>
          <w:rtl/>
        </w:rPr>
        <w:t xml:space="preserve">תרבותי. שיקול לאומי זה הביא להענקת תמריצים מסוימים, בנסיון לעודד שיבה כאמור. מטבע הדברים התמריצים מוגדרים (ולעיתים מוגבלים בזמן). </w:t>
      </w:r>
    </w:p>
    <w:p w:rsidR="00F8711F" w:rsidRPr="004E56D5" w:rsidRDefault="00F8711F" w:rsidP="0094129B">
      <w:pPr>
        <w:pStyle w:val="ad"/>
        <w:spacing w:line="360" w:lineRule="auto"/>
        <w:ind w:left="587"/>
        <w:jc w:val="both"/>
        <w:rPr>
          <w:rFonts w:ascii="Arial" w:hAnsi="Arial"/>
          <w:noProof w:val="0"/>
          <w:sz w:val="26"/>
          <w:szCs w:val="26"/>
        </w:rPr>
      </w:pPr>
    </w:p>
    <w:p w:rsidR="0094129B" w:rsidRDefault="004E56D5" w:rsidP="0030624F">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לדעתי יהיה זה מעשה של חקיקה שיפוטית, ולא של פרשנות </w:t>
      </w:r>
      <w:r w:rsidR="00B8035C">
        <w:rPr>
          <w:rFonts w:ascii="Arial" w:hAnsi="Arial" w:hint="cs"/>
          <w:noProof w:val="0"/>
          <w:sz w:val="26"/>
          <w:szCs w:val="26"/>
          <w:rtl/>
        </w:rPr>
        <w:t>ה</w:t>
      </w:r>
      <w:r>
        <w:rPr>
          <w:rFonts w:ascii="Arial" w:hAnsi="Arial" w:hint="cs"/>
          <w:noProof w:val="0"/>
          <w:sz w:val="26"/>
          <w:szCs w:val="26"/>
          <w:rtl/>
        </w:rPr>
        <w:t xml:space="preserve">חוק, לקבוע כי תקנה 12 חלה אף על תושב חוזר ותיק. </w:t>
      </w:r>
    </w:p>
    <w:p w:rsidR="004E56D5" w:rsidRDefault="004E56D5" w:rsidP="004E56D5">
      <w:pPr>
        <w:pStyle w:val="ad"/>
        <w:spacing w:line="360" w:lineRule="auto"/>
        <w:ind w:left="587"/>
        <w:jc w:val="both"/>
        <w:rPr>
          <w:rFonts w:ascii="Arial" w:hAnsi="Arial"/>
          <w:noProof w:val="0"/>
          <w:sz w:val="26"/>
          <w:szCs w:val="26"/>
          <w:rtl/>
        </w:rPr>
      </w:pPr>
    </w:p>
    <w:p w:rsidR="004E56D5" w:rsidRDefault="004E56D5" w:rsidP="004E56D5">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עקרון היסוד של הפרדת הרשויות מחייב ריסון שיפוטי במקרה דנן. </w:t>
      </w:r>
    </w:p>
    <w:p w:rsidR="004E56D5" w:rsidRDefault="004E56D5" w:rsidP="004E56D5">
      <w:pPr>
        <w:pStyle w:val="ad"/>
        <w:spacing w:line="360" w:lineRule="auto"/>
        <w:ind w:left="587"/>
        <w:jc w:val="both"/>
        <w:rPr>
          <w:rFonts w:ascii="Arial" w:hAnsi="Arial"/>
          <w:noProof w:val="0"/>
          <w:sz w:val="26"/>
          <w:szCs w:val="26"/>
          <w:rtl/>
        </w:rPr>
      </w:pPr>
    </w:p>
    <w:p w:rsidR="004E56D5" w:rsidRDefault="004E56D5" w:rsidP="004E56D5">
      <w:pPr>
        <w:pStyle w:val="ad"/>
        <w:spacing w:line="360" w:lineRule="auto"/>
        <w:ind w:left="587"/>
        <w:jc w:val="both"/>
        <w:rPr>
          <w:rFonts w:ascii="Arial" w:hAnsi="Arial"/>
          <w:noProof w:val="0"/>
          <w:sz w:val="26"/>
          <w:szCs w:val="26"/>
          <w:rtl/>
        </w:rPr>
      </w:pPr>
      <w:r>
        <w:rPr>
          <w:rFonts w:ascii="Arial" w:hAnsi="Arial" w:hint="cs"/>
          <w:noProof w:val="0"/>
          <w:sz w:val="26"/>
          <w:szCs w:val="26"/>
          <w:rtl/>
        </w:rPr>
        <w:t>תקנה 12 כוללת הגדרה מפורשת ומפורטת של המונח "עולה", ולשון החקיקה איננה משאירה פתח לומר, על דרך הפירוש</w:t>
      </w:r>
      <w:r w:rsidR="00B8035C">
        <w:rPr>
          <w:rFonts w:ascii="Arial" w:hAnsi="Arial" w:hint="cs"/>
          <w:noProof w:val="0"/>
          <w:sz w:val="26"/>
          <w:szCs w:val="26"/>
          <w:rtl/>
        </w:rPr>
        <w:t xml:space="preserve"> או ההיקש</w:t>
      </w:r>
      <w:r>
        <w:rPr>
          <w:rFonts w:ascii="Arial" w:hAnsi="Arial" w:hint="cs"/>
          <w:noProof w:val="0"/>
          <w:sz w:val="26"/>
          <w:szCs w:val="26"/>
          <w:rtl/>
        </w:rPr>
        <w:t xml:space="preserve">, כי גם תושב חוזר ותיק נכלל בהגדרה זו. </w:t>
      </w:r>
    </w:p>
    <w:p w:rsidR="00F8711F" w:rsidRDefault="00F8711F" w:rsidP="004E56D5">
      <w:pPr>
        <w:pStyle w:val="ad"/>
        <w:spacing w:line="360" w:lineRule="auto"/>
        <w:ind w:left="587"/>
        <w:jc w:val="both"/>
        <w:rPr>
          <w:rFonts w:ascii="Arial" w:hAnsi="Arial"/>
          <w:noProof w:val="0"/>
          <w:sz w:val="26"/>
          <w:szCs w:val="26"/>
          <w:rtl/>
        </w:rPr>
      </w:pPr>
    </w:p>
    <w:p w:rsidR="004E56D5" w:rsidRDefault="004E56D5" w:rsidP="004E56D5">
      <w:pPr>
        <w:pStyle w:val="ad"/>
        <w:spacing w:line="360" w:lineRule="auto"/>
        <w:ind w:left="587"/>
        <w:jc w:val="both"/>
        <w:rPr>
          <w:rFonts w:ascii="Arial" w:hAnsi="Arial"/>
          <w:noProof w:val="0"/>
          <w:sz w:val="26"/>
          <w:szCs w:val="26"/>
          <w:rtl/>
        </w:rPr>
      </w:pPr>
      <w:r>
        <w:rPr>
          <w:rFonts w:ascii="Arial" w:hAnsi="Arial" w:hint="cs"/>
          <w:noProof w:val="0"/>
          <w:sz w:val="26"/>
          <w:szCs w:val="26"/>
          <w:rtl/>
        </w:rPr>
        <w:t>בכוחה של הרשות המחוקקת לתקן את סעיף 9 לחוק  מיסוי מקרקעין ובכוחה של הרשות המבצע</w:t>
      </w:r>
      <w:r w:rsidR="00B8035C">
        <w:rPr>
          <w:rFonts w:ascii="Arial" w:hAnsi="Arial" w:hint="cs"/>
          <w:noProof w:val="0"/>
          <w:sz w:val="26"/>
          <w:szCs w:val="26"/>
          <w:rtl/>
        </w:rPr>
        <w:t>ת לתקן את תקנה 12, אם אלה סבורות</w:t>
      </w:r>
      <w:r w:rsidR="000F7486">
        <w:rPr>
          <w:rFonts w:ascii="Arial" w:hAnsi="Arial" w:hint="cs"/>
          <w:noProof w:val="0"/>
          <w:sz w:val="26"/>
          <w:szCs w:val="26"/>
          <w:rtl/>
        </w:rPr>
        <w:t xml:space="preserve"> כי </w:t>
      </w:r>
      <w:r w:rsidR="000F7486" w:rsidRPr="000F7486">
        <w:rPr>
          <w:rFonts w:ascii="Arial" w:hAnsi="Arial" w:hint="cs"/>
          <w:b/>
          <w:bCs/>
          <w:noProof w:val="0"/>
          <w:sz w:val="26"/>
          <w:szCs w:val="26"/>
          <w:rtl/>
        </w:rPr>
        <w:t>רצוי</w:t>
      </w:r>
      <w:r>
        <w:rPr>
          <w:rFonts w:ascii="Arial" w:hAnsi="Arial" w:hint="cs"/>
          <w:noProof w:val="0"/>
          <w:sz w:val="26"/>
          <w:szCs w:val="26"/>
          <w:rtl/>
        </w:rPr>
        <w:t xml:space="preserve"> להעניק את </w:t>
      </w:r>
      <w:r w:rsidR="00D36BEA">
        <w:rPr>
          <w:rFonts w:ascii="Arial" w:hAnsi="Arial" w:hint="cs"/>
          <w:noProof w:val="0"/>
          <w:sz w:val="26"/>
          <w:szCs w:val="26"/>
          <w:rtl/>
        </w:rPr>
        <w:t>הה</w:t>
      </w:r>
      <w:r>
        <w:rPr>
          <w:rFonts w:ascii="Arial" w:hAnsi="Arial" w:hint="cs"/>
          <w:noProof w:val="0"/>
          <w:sz w:val="26"/>
          <w:szCs w:val="26"/>
          <w:rtl/>
        </w:rPr>
        <w:t xml:space="preserve">קלה הנדונה גם לתושב חוזר ותיק. בראש ובראשונה זו שאלה של </w:t>
      </w:r>
      <w:r>
        <w:rPr>
          <w:rFonts w:ascii="Arial" w:hAnsi="Arial" w:hint="cs"/>
          <w:b/>
          <w:bCs/>
          <w:noProof w:val="0"/>
          <w:sz w:val="26"/>
          <w:szCs w:val="26"/>
          <w:rtl/>
        </w:rPr>
        <w:t>מדיניות מיסוי</w:t>
      </w:r>
      <w:r>
        <w:rPr>
          <w:rFonts w:ascii="Arial" w:hAnsi="Arial" w:hint="cs"/>
          <w:noProof w:val="0"/>
          <w:sz w:val="26"/>
          <w:szCs w:val="26"/>
          <w:rtl/>
        </w:rPr>
        <w:t xml:space="preserve">, וכרוכה בה גם היבט תקציבי (הרי נכונות המחוקק להשוות את דינו של תושב חוזר ותיק לזה של </w:t>
      </w:r>
      <w:r w:rsidR="009E6D76">
        <w:rPr>
          <w:rFonts w:ascii="Arial" w:hAnsi="Arial" w:hint="cs"/>
          <w:noProof w:val="0"/>
          <w:sz w:val="26"/>
          <w:szCs w:val="26"/>
          <w:rtl/>
        </w:rPr>
        <w:t xml:space="preserve">תושב ישראל לראשונה לעניין שיעורי המס על פי סעיף 9(ג1ג)(2) לחוק, איננה מעידה </w:t>
      </w:r>
      <w:r w:rsidR="00B8035C">
        <w:rPr>
          <w:rFonts w:ascii="Arial" w:hAnsi="Arial" w:hint="cs"/>
          <w:noProof w:val="0"/>
          <w:sz w:val="26"/>
          <w:szCs w:val="26"/>
          <w:rtl/>
        </w:rPr>
        <w:t xml:space="preserve">בהכרח </w:t>
      </w:r>
      <w:r w:rsidR="009E6D76">
        <w:rPr>
          <w:rFonts w:ascii="Arial" w:hAnsi="Arial" w:hint="cs"/>
          <w:noProof w:val="0"/>
          <w:sz w:val="26"/>
          <w:szCs w:val="26"/>
          <w:rtl/>
        </w:rPr>
        <w:t>על כך שלעניין הה</w:t>
      </w:r>
      <w:r w:rsidR="00B8035C">
        <w:rPr>
          <w:rFonts w:ascii="Arial" w:hAnsi="Arial" w:hint="cs"/>
          <w:noProof w:val="0"/>
          <w:sz w:val="26"/>
          <w:szCs w:val="26"/>
          <w:rtl/>
        </w:rPr>
        <w:t>טב</w:t>
      </w:r>
      <w:r w:rsidR="009E6D76">
        <w:rPr>
          <w:rFonts w:ascii="Arial" w:hAnsi="Arial" w:hint="cs"/>
          <w:noProof w:val="0"/>
          <w:sz w:val="26"/>
          <w:szCs w:val="26"/>
          <w:rtl/>
        </w:rPr>
        <w:t>ה על פי תקנה 12 אותם שיקו</w:t>
      </w:r>
      <w:r w:rsidR="00B8035C">
        <w:rPr>
          <w:rFonts w:ascii="Arial" w:hAnsi="Arial" w:hint="cs"/>
          <w:noProof w:val="0"/>
          <w:sz w:val="26"/>
          <w:szCs w:val="26"/>
          <w:rtl/>
        </w:rPr>
        <w:t>ל</w:t>
      </w:r>
      <w:r w:rsidR="009E6D76">
        <w:rPr>
          <w:rFonts w:ascii="Arial" w:hAnsi="Arial" w:hint="cs"/>
          <w:noProof w:val="0"/>
          <w:sz w:val="26"/>
          <w:szCs w:val="26"/>
          <w:rtl/>
        </w:rPr>
        <w:t xml:space="preserve">ים תקציביים ופיסקליים יהיו תקפים). </w:t>
      </w:r>
    </w:p>
    <w:p w:rsidR="009E6D76" w:rsidRDefault="009E6D76" w:rsidP="004E56D5">
      <w:pPr>
        <w:pStyle w:val="ad"/>
        <w:spacing w:line="360" w:lineRule="auto"/>
        <w:ind w:left="587"/>
        <w:jc w:val="both"/>
        <w:rPr>
          <w:rFonts w:ascii="Arial" w:hAnsi="Arial"/>
          <w:noProof w:val="0"/>
          <w:sz w:val="26"/>
          <w:szCs w:val="26"/>
          <w:rtl/>
        </w:rPr>
      </w:pPr>
    </w:p>
    <w:p w:rsidR="00C2393E" w:rsidRDefault="00C2393E" w:rsidP="00C2393E">
      <w:pPr>
        <w:pStyle w:val="ad"/>
        <w:spacing w:line="360" w:lineRule="auto"/>
        <w:ind w:left="587"/>
        <w:jc w:val="both"/>
        <w:rPr>
          <w:rFonts w:ascii="David" w:hAnsi="David"/>
          <w:sz w:val="26"/>
          <w:szCs w:val="26"/>
          <w:rtl/>
        </w:rPr>
      </w:pPr>
      <w:r w:rsidRPr="00881D69">
        <w:rPr>
          <w:rFonts w:ascii="David" w:hAnsi="David" w:hint="cs"/>
          <w:sz w:val="26"/>
          <w:szCs w:val="26"/>
          <w:rtl/>
        </w:rPr>
        <w:t>גם לא מן הנמנע כי במישור המדינ</w:t>
      </w:r>
      <w:r>
        <w:rPr>
          <w:rFonts w:ascii="David" w:hAnsi="David" w:hint="cs"/>
          <w:sz w:val="26"/>
          <w:szCs w:val="26"/>
          <w:rtl/>
        </w:rPr>
        <w:t>יות ובהיבט ההצדקה לתת תמריץ פיס</w:t>
      </w:r>
      <w:r w:rsidRPr="00881D69">
        <w:rPr>
          <w:rFonts w:ascii="David" w:hAnsi="David" w:hint="cs"/>
          <w:sz w:val="26"/>
          <w:szCs w:val="26"/>
          <w:rtl/>
        </w:rPr>
        <w:t>קלי, יימצא הבדל בין עול</w:t>
      </w:r>
      <w:r>
        <w:rPr>
          <w:rFonts w:ascii="David" w:hAnsi="David" w:hint="cs"/>
          <w:sz w:val="26"/>
          <w:szCs w:val="26"/>
          <w:rtl/>
        </w:rPr>
        <w:t>ה</w:t>
      </w:r>
      <w:r w:rsidRPr="00881D69">
        <w:rPr>
          <w:rFonts w:ascii="David" w:hAnsi="David" w:hint="cs"/>
          <w:sz w:val="26"/>
          <w:szCs w:val="26"/>
          <w:rtl/>
        </w:rPr>
        <w:t xml:space="preserve"> שרוכש לראשונה דירה</w:t>
      </w:r>
      <w:r w:rsidR="009F1D3B">
        <w:rPr>
          <w:rFonts w:ascii="David" w:hAnsi="David" w:hint="cs"/>
          <w:sz w:val="26"/>
          <w:szCs w:val="26"/>
          <w:rtl/>
        </w:rPr>
        <w:t xml:space="preserve"> בארץ חדשה ובין תושב חוזר ותיק </w:t>
      </w:r>
      <w:r w:rsidRPr="00881D69">
        <w:rPr>
          <w:rFonts w:ascii="David" w:hAnsi="David" w:hint="cs"/>
          <w:sz w:val="26"/>
          <w:szCs w:val="26"/>
          <w:rtl/>
        </w:rPr>
        <w:t>ששב למו</w:t>
      </w:r>
      <w:r>
        <w:rPr>
          <w:rFonts w:ascii="David" w:hAnsi="David" w:hint="cs"/>
          <w:sz w:val="26"/>
          <w:szCs w:val="26"/>
          <w:rtl/>
        </w:rPr>
        <w:t>לדתו (ואינני מביע כל דעה בעניין). בהעדר עיגון בחקיקה, החלטה ערכית</w:t>
      </w:r>
      <w:r w:rsidR="009F1D3B">
        <w:rPr>
          <w:rFonts w:ascii="David" w:hAnsi="David" w:hint="cs"/>
          <w:sz w:val="26"/>
          <w:szCs w:val="26"/>
          <w:rtl/>
        </w:rPr>
        <w:t xml:space="preserve"> ותקציבית</w:t>
      </w:r>
      <w:r>
        <w:rPr>
          <w:rFonts w:ascii="David" w:hAnsi="David" w:hint="cs"/>
          <w:sz w:val="26"/>
          <w:szCs w:val="26"/>
          <w:rtl/>
        </w:rPr>
        <w:t xml:space="preserve"> להרחיב את תחולת ההקלה ולהחילה גם על תושב חוזר ותיק איננה אמורה להתקבל על ידי הרשות השופטת. </w:t>
      </w:r>
    </w:p>
    <w:p w:rsidR="00C2393E" w:rsidRDefault="00C2393E" w:rsidP="004E56D5">
      <w:pPr>
        <w:pStyle w:val="ad"/>
        <w:spacing w:line="360" w:lineRule="auto"/>
        <w:ind w:left="587"/>
        <w:jc w:val="both"/>
        <w:rPr>
          <w:rFonts w:ascii="Arial" w:hAnsi="Arial"/>
          <w:noProof w:val="0"/>
          <w:sz w:val="26"/>
          <w:szCs w:val="26"/>
          <w:rtl/>
        </w:rPr>
      </w:pPr>
    </w:p>
    <w:p w:rsidR="009E6D76" w:rsidRDefault="009E6D76" w:rsidP="00C2393E">
      <w:pPr>
        <w:pStyle w:val="ad"/>
        <w:numPr>
          <w:ilvl w:val="0"/>
          <w:numId w:val="2"/>
        </w:numPr>
        <w:spacing w:line="360" w:lineRule="auto"/>
        <w:ind w:left="587"/>
        <w:jc w:val="both"/>
        <w:rPr>
          <w:rFonts w:ascii="Arial" w:hAnsi="Arial"/>
          <w:noProof w:val="0"/>
          <w:sz w:val="26"/>
          <w:szCs w:val="26"/>
          <w:rtl/>
        </w:rPr>
      </w:pPr>
      <w:r>
        <w:rPr>
          <w:rFonts w:ascii="Arial" w:hAnsi="Arial" w:hint="cs"/>
          <w:noProof w:val="0"/>
          <w:sz w:val="26"/>
          <w:szCs w:val="26"/>
          <w:rtl/>
        </w:rPr>
        <w:t>לדעתי הדברים נכונים ביתר שאת דווקא לנוכח קיומה של תקנה 12(א)(2)</w:t>
      </w:r>
      <w:r w:rsidR="00B8035C">
        <w:rPr>
          <w:rFonts w:ascii="Arial" w:hAnsi="Arial" w:hint="cs"/>
          <w:noProof w:val="0"/>
          <w:sz w:val="26"/>
          <w:szCs w:val="26"/>
          <w:rtl/>
        </w:rPr>
        <w:t>,</w:t>
      </w:r>
      <w:r>
        <w:rPr>
          <w:rFonts w:ascii="Arial" w:hAnsi="Arial" w:hint="cs"/>
          <w:noProof w:val="0"/>
          <w:sz w:val="26"/>
          <w:szCs w:val="26"/>
          <w:rtl/>
        </w:rPr>
        <w:t xml:space="preserve"> המסמיכה </w:t>
      </w:r>
      <w:r w:rsidRPr="00B8035C">
        <w:rPr>
          <w:rFonts w:ascii="Arial" w:hAnsi="Arial" w:hint="cs"/>
          <w:b/>
          <w:bCs/>
          <w:noProof w:val="0"/>
          <w:sz w:val="26"/>
          <w:szCs w:val="26"/>
          <w:rtl/>
        </w:rPr>
        <w:t>את שר האוצר</w:t>
      </w:r>
      <w:r>
        <w:rPr>
          <w:rFonts w:ascii="Arial" w:hAnsi="Arial" w:hint="cs"/>
          <w:noProof w:val="0"/>
          <w:sz w:val="26"/>
          <w:szCs w:val="26"/>
          <w:rtl/>
        </w:rPr>
        <w:t xml:space="preserve"> באופן מפורש ביותר "לקבוע סוגי בני-אדם שדינם כדין עולה" </w:t>
      </w:r>
      <w:r>
        <w:rPr>
          <w:rFonts w:ascii="Arial" w:hAnsi="Arial"/>
          <w:noProof w:val="0"/>
          <w:sz w:val="26"/>
          <w:szCs w:val="26"/>
          <w:rtl/>
        </w:rPr>
        <w:t>–</w:t>
      </w:r>
      <w:r>
        <w:rPr>
          <w:rFonts w:ascii="Arial" w:hAnsi="Arial" w:hint="cs"/>
          <w:noProof w:val="0"/>
          <w:sz w:val="26"/>
          <w:szCs w:val="26"/>
          <w:rtl/>
        </w:rPr>
        <w:t xml:space="preserve">  </w:t>
      </w:r>
      <w:r w:rsidR="00F622D8">
        <w:rPr>
          <w:rFonts w:ascii="Arial" w:hAnsi="Arial" w:hint="cs"/>
          <w:noProof w:val="0"/>
          <w:sz w:val="26"/>
          <w:szCs w:val="26"/>
          <w:rtl/>
        </w:rPr>
        <w:t xml:space="preserve">וזאת על פי שיקול דעתו. </w:t>
      </w:r>
      <w:r>
        <w:rPr>
          <w:rFonts w:ascii="Arial" w:hAnsi="Arial" w:hint="cs"/>
          <w:noProof w:val="0"/>
          <w:sz w:val="26"/>
          <w:szCs w:val="26"/>
          <w:rtl/>
        </w:rPr>
        <w:t>בהעדר שימוש בסמכות זו בידי השר עצמו לגבי תושב חוזר ותיק, תהיה זו הסגת גבול של ממש אם  הדבר ייעשה על ידי הרשות השופטת.</w:t>
      </w:r>
      <w:r>
        <w:rPr>
          <w:rStyle w:val="af0"/>
          <w:rFonts w:ascii="Arial" w:hAnsi="Arial"/>
          <w:noProof w:val="0"/>
          <w:sz w:val="26"/>
          <w:szCs w:val="26"/>
          <w:rtl/>
        </w:rPr>
        <w:footnoteReference w:id="9"/>
      </w:r>
    </w:p>
    <w:p w:rsidR="0079763A" w:rsidRDefault="0079763A" w:rsidP="0079763A">
      <w:pPr>
        <w:rPr>
          <w:rFonts w:ascii="Calibri" w:hAnsi="Calibri" w:cs="Calibri"/>
          <w:b/>
          <w:bCs/>
          <w:sz w:val="32"/>
          <w:szCs w:val="32"/>
          <w:rtl/>
        </w:rPr>
      </w:pPr>
    </w:p>
    <w:p w:rsidR="00A36A67" w:rsidRDefault="00A36A67" w:rsidP="00960A42">
      <w:pPr>
        <w:pStyle w:val="ad"/>
        <w:numPr>
          <w:ilvl w:val="0"/>
          <w:numId w:val="2"/>
        </w:numPr>
        <w:spacing w:line="360" w:lineRule="auto"/>
        <w:ind w:left="587"/>
        <w:jc w:val="both"/>
        <w:rPr>
          <w:rFonts w:ascii="Arial" w:hAnsi="Arial"/>
          <w:noProof w:val="0"/>
          <w:sz w:val="26"/>
          <w:szCs w:val="26"/>
        </w:rPr>
      </w:pPr>
      <w:r w:rsidRPr="008A776A">
        <w:rPr>
          <w:rFonts w:ascii="Arial" w:hAnsi="Arial" w:hint="cs"/>
          <w:noProof w:val="0"/>
          <w:sz w:val="26"/>
          <w:szCs w:val="26"/>
          <w:rtl/>
        </w:rPr>
        <w:t xml:space="preserve">ייתכן שבמקרה ברור ומובהק </w:t>
      </w:r>
      <w:r w:rsidR="00B33AB8" w:rsidRPr="008A776A">
        <w:rPr>
          <w:rFonts w:ascii="Arial" w:hAnsi="Arial" w:hint="cs"/>
          <w:noProof w:val="0"/>
          <w:sz w:val="26"/>
          <w:szCs w:val="26"/>
          <w:rtl/>
        </w:rPr>
        <w:t>ש</w:t>
      </w:r>
      <w:r w:rsidRPr="008A776A">
        <w:rPr>
          <w:rFonts w:ascii="Arial" w:hAnsi="Arial" w:hint="cs"/>
          <w:noProof w:val="0"/>
          <w:sz w:val="26"/>
          <w:szCs w:val="26"/>
          <w:rtl/>
        </w:rPr>
        <w:t xml:space="preserve">ל השמטה בשגגה, בית המשפט יהיה מוסמך "להשלים" חסר בחקיקה על דרך הפרשנות </w:t>
      </w:r>
      <w:r w:rsidRPr="008A776A">
        <w:rPr>
          <w:rFonts w:ascii="Arial" w:hAnsi="Arial"/>
          <w:noProof w:val="0"/>
          <w:sz w:val="26"/>
          <w:szCs w:val="26"/>
          <w:rtl/>
        </w:rPr>
        <w:t>–</w:t>
      </w:r>
      <w:r w:rsidRPr="008A776A">
        <w:rPr>
          <w:rFonts w:ascii="Arial" w:hAnsi="Arial" w:hint="cs"/>
          <w:noProof w:val="0"/>
          <w:sz w:val="26"/>
          <w:szCs w:val="26"/>
          <w:rtl/>
        </w:rPr>
        <w:t xml:space="preserve"> </w:t>
      </w:r>
      <w:r w:rsidR="009F1D3B">
        <w:rPr>
          <w:rFonts w:ascii="Arial" w:hAnsi="Arial" w:hint="cs"/>
          <w:noProof w:val="0"/>
          <w:sz w:val="26"/>
          <w:szCs w:val="26"/>
          <w:rtl/>
        </w:rPr>
        <w:t xml:space="preserve">וזאת </w:t>
      </w:r>
      <w:r w:rsidRPr="008A776A">
        <w:rPr>
          <w:rFonts w:ascii="Arial" w:hAnsi="Arial" w:hint="cs"/>
          <w:noProof w:val="0"/>
          <w:sz w:val="26"/>
          <w:szCs w:val="26"/>
          <w:rtl/>
        </w:rPr>
        <w:t>אם אין כל ספק לגבי כוונת המחוקק ואם הימנע</w:t>
      </w:r>
      <w:r w:rsidR="00B33AB8" w:rsidRPr="008A776A">
        <w:rPr>
          <w:rFonts w:ascii="Arial" w:hAnsi="Arial" w:hint="cs"/>
          <w:noProof w:val="0"/>
          <w:sz w:val="26"/>
          <w:szCs w:val="26"/>
          <w:rtl/>
        </w:rPr>
        <w:t>ות מפרשנות כזו תביא לתקלה</w:t>
      </w:r>
      <w:r w:rsidR="009F1D3B">
        <w:rPr>
          <w:rFonts w:ascii="Arial" w:hAnsi="Arial" w:hint="cs"/>
          <w:noProof w:val="0"/>
          <w:sz w:val="26"/>
          <w:szCs w:val="26"/>
          <w:rtl/>
        </w:rPr>
        <w:t xml:space="preserve"> חמורה</w:t>
      </w:r>
      <w:r w:rsidR="00B33AB8" w:rsidRPr="008A776A">
        <w:rPr>
          <w:rFonts w:ascii="Arial" w:hAnsi="Arial" w:hint="cs"/>
          <w:noProof w:val="0"/>
          <w:sz w:val="26"/>
          <w:szCs w:val="26"/>
          <w:rtl/>
        </w:rPr>
        <w:t xml:space="preserve"> ביישום</w:t>
      </w:r>
      <w:r w:rsidRPr="008A776A">
        <w:rPr>
          <w:rFonts w:ascii="Arial" w:hAnsi="Arial" w:hint="cs"/>
          <w:noProof w:val="0"/>
          <w:sz w:val="26"/>
          <w:szCs w:val="26"/>
          <w:rtl/>
        </w:rPr>
        <w:t xml:space="preserve"> החוק. אינני נדרש לשרטט כאן את גבולותיה של גישה פרשנית כזו</w:t>
      </w:r>
      <w:r w:rsidR="009F1D3B">
        <w:rPr>
          <w:rFonts w:ascii="Arial" w:hAnsi="Arial" w:hint="cs"/>
          <w:noProof w:val="0"/>
          <w:sz w:val="26"/>
          <w:szCs w:val="26"/>
          <w:rtl/>
        </w:rPr>
        <w:t>,</w:t>
      </w:r>
      <w:r w:rsidRPr="008A776A">
        <w:rPr>
          <w:rFonts w:ascii="Arial" w:hAnsi="Arial" w:hint="cs"/>
          <w:noProof w:val="0"/>
          <w:sz w:val="26"/>
          <w:szCs w:val="26"/>
          <w:rtl/>
        </w:rPr>
        <w:t xml:space="preserve"> מפני שלדעתי המקרה הנוכחי כלל אי</w:t>
      </w:r>
      <w:r w:rsidR="008E1013" w:rsidRPr="008A776A">
        <w:rPr>
          <w:rFonts w:ascii="Arial" w:hAnsi="Arial" w:hint="cs"/>
          <w:noProof w:val="0"/>
          <w:sz w:val="26"/>
          <w:szCs w:val="26"/>
          <w:rtl/>
        </w:rPr>
        <w:t xml:space="preserve">ננו נמנה עם המצבים החריגים שאולי יצדיקו </w:t>
      </w:r>
      <w:r w:rsidR="00B33AB8" w:rsidRPr="008A776A">
        <w:rPr>
          <w:rFonts w:ascii="Arial" w:hAnsi="Arial" w:hint="cs"/>
          <w:noProof w:val="0"/>
          <w:sz w:val="26"/>
          <w:szCs w:val="26"/>
          <w:rtl/>
        </w:rPr>
        <w:t xml:space="preserve">את אימוצה. </w:t>
      </w:r>
      <w:r w:rsidR="008E1013" w:rsidRPr="008A776A">
        <w:rPr>
          <w:rFonts w:ascii="Arial" w:hAnsi="Arial" w:hint="cs"/>
          <w:noProof w:val="0"/>
          <w:sz w:val="26"/>
          <w:szCs w:val="26"/>
          <w:rtl/>
        </w:rPr>
        <w:t xml:space="preserve"> </w:t>
      </w:r>
    </w:p>
    <w:p w:rsidR="0033392C" w:rsidRPr="0033392C" w:rsidRDefault="0033392C" w:rsidP="0033392C">
      <w:pPr>
        <w:pStyle w:val="ad"/>
        <w:rPr>
          <w:rFonts w:ascii="Arial" w:hAnsi="Arial"/>
          <w:noProof w:val="0"/>
          <w:sz w:val="26"/>
          <w:szCs w:val="26"/>
          <w:rtl/>
        </w:rPr>
      </w:pPr>
    </w:p>
    <w:p w:rsidR="0033392C" w:rsidRPr="008A776A" w:rsidRDefault="0033392C" w:rsidP="0033392C">
      <w:pPr>
        <w:pStyle w:val="ad"/>
        <w:spacing w:line="360" w:lineRule="auto"/>
        <w:ind w:left="587"/>
        <w:jc w:val="both"/>
        <w:rPr>
          <w:rFonts w:ascii="Arial" w:hAnsi="Arial"/>
          <w:noProof w:val="0"/>
          <w:sz w:val="26"/>
          <w:szCs w:val="26"/>
          <w:rtl/>
        </w:rPr>
      </w:pPr>
    </w:p>
    <w:p w:rsidR="00F2663C" w:rsidRDefault="00B25BB9" w:rsidP="0033392C">
      <w:pPr>
        <w:pStyle w:val="ad"/>
        <w:numPr>
          <w:ilvl w:val="0"/>
          <w:numId w:val="1"/>
        </w:numPr>
        <w:spacing w:line="360" w:lineRule="auto"/>
        <w:jc w:val="both"/>
        <w:rPr>
          <w:rFonts w:ascii="Arial" w:hAnsi="Arial"/>
          <w:b/>
          <w:bCs/>
          <w:noProof w:val="0"/>
          <w:sz w:val="32"/>
          <w:szCs w:val="32"/>
          <w:u w:val="single"/>
        </w:rPr>
      </w:pPr>
      <w:r>
        <w:rPr>
          <w:rFonts w:ascii="Arial" w:hAnsi="Arial" w:hint="cs"/>
          <w:b/>
          <w:bCs/>
          <w:noProof w:val="0"/>
          <w:sz w:val="32"/>
          <w:szCs w:val="32"/>
          <w:u w:val="single"/>
          <w:rtl/>
        </w:rPr>
        <w:t>ל</w:t>
      </w:r>
      <w:r w:rsidR="0033392C">
        <w:rPr>
          <w:rFonts w:ascii="Arial" w:hAnsi="Arial" w:hint="cs"/>
          <w:b/>
          <w:bCs/>
          <w:noProof w:val="0"/>
          <w:sz w:val="32"/>
          <w:szCs w:val="32"/>
          <w:u w:val="single"/>
          <w:rtl/>
        </w:rPr>
        <w:t xml:space="preserve">סיום </w:t>
      </w:r>
    </w:p>
    <w:p w:rsidR="0033392C" w:rsidRDefault="0033392C" w:rsidP="0033392C">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לאור כל האמור לעיל, אני מציע לחבריי לוועדת הערר לדחות את הערר. </w:t>
      </w:r>
    </w:p>
    <w:p w:rsidR="0033392C" w:rsidRDefault="0033392C" w:rsidP="0033392C">
      <w:pPr>
        <w:pStyle w:val="ad"/>
        <w:spacing w:line="360" w:lineRule="auto"/>
        <w:ind w:left="587"/>
        <w:jc w:val="both"/>
        <w:rPr>
          <w:rFonts w:ascii="Arial" w:hAnsi="Arial"/>
          <w:noProof w:val="0"/>
          <w:sz w:val="26"/>
          <w:szCs w:val="26"/>
        </w:rPr>
      </w:pPr>
    </w:p>
    <w:p w:rsidR="0033392C" w:rsidRDefault="0033392C" w:rsidP="0033392C">
      <w:pPr>
        <w:pStyle w:val="ad"/>
        <w:numPr>
          <w:ilvl w:val="0"/>
          <w:numId w:val="2"/>
        </w:numPr>
        <w:spacing w:line="360" w:lineRule="auto"/>
        <w:ind w:left="587"/>
        <w:jc w:val="both"/>
        <w:rPr>
          <w:rFonts w:ascii="Arial" w:hAnsi="Arial"/>
          <w:noProof w:val="0"/>
          <w:sz w:val="26"/>
          <w:szCs w:val="26"/>
        </w:rPr>
      </w:pPr>
      <w:r>
        <w:rPr>
          <w:rFonts w:ascii="Arial" w:hAnsi="Arial" w:hint="cs"/>
          <w:noProof w:val="0"/>
          <w:sz w:val="26"/>
          <w:szCs w:val="26"/>
          <w:rtl/>
        </w:rPr>
        <w:t xml:space="preserve">בהתחשב בכך שלא נדרש קיום דיון הוכחות בערר בשל ההסכמה הדיונית שהושגה בין הצדדים, אני מציע לפסוק הוצאות משפט על הצד הנמוך, דהיינו בסכום כולל של 7,500 שקלים חדשים. </w:t>
      </w:r>
      <w:r w:rsidR="00043352">
        <w:rPr>
          <w:rFonts w:ascii="Arial" w:hAnsi="Arial" w:hint="cs"/>
          <w:noProof w:val="0"/>
          <w:sz w:val="26"/>
          <w:szCs w:val="26"/>
          <w:rtl/>
        </w:rPr>
        <w:t xml:space="preserve">סכום זה ישולם למשיב תוך 30 ימים. </w:t>
      </w:r>
    </w:p>
    <w:p w:rsidR="0033392C" w:rsidRDefault="0033392C" w:rsidP="0033392C">
      <w:pPr>
        <w:pStyle w:val="ad"/>
        <w:spacing w:line="360" w:lineRule="auto"/>
        <w:ind w:left="587"/>
        <w:jc w:val="both"/>
        <w:rPr>
          <w:rFonts w:ascii="Arial" w:hAnsi="Arial"/>
          <w:noProof w:val="0"/>
          <w:sz w:val="26"/>
          <w:szCs w:val="26"/>
          <w:rtl/>
        </w:rPr>
      </w:pPr>
    </w:p>
    <w:p w:rsidR="004A51EA" w:rsidRDefault="009623C0" w:rsidP="0033392C">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                                                        ***</w:t>
      </w:r>
    </w:p>
    <w:p w:rsidR="004A51EA" w:rsidRDefault="004A51EA" w:rsidP="0033392C">
      <w:pPr>
        <w:pStyle w:val="ad"/>
        <w:spacing w:line="360" w:lineRule="auto"/>
        <w:ind w:left="587"/>
        <w:jc w:val="both"/>
        <w:rPr>
          <w:rFonts w:ascii="Arial" w:hAnsi="Arial"/>
          <w:b/>
          <w:bCs/>
          <w:noProof w:val="0"/>
          <w:sz w:val="26"/>
          <w:szCs w:val="26"/>
          <w:rtl/>
        </w:rPr>
      </w:pPr>
    </w:p>
    <w:p w:rsidR="004A51EA" w:rsidRDefault="004A51EA" w:rsidP="0033392C">
      <w:pPr>
        <w:pStyle w:val="ad"/>
        <w:spacing w:line="360" w:lineRule="auto"/>
        <w:ind w:left="587"/>
        <w:jc w:val="both"/>
        <w:rPr>
          <w:rFonts w:ascii="Arial" w:hAnsi="Arial"/>
          <w:b/>
          <w:bCs/>
          <w:noProof w:val="0"/>
          <w:sz w:val="26"/>
          <w:szCs w:val="26"/>
          <w:rtl/>
        </w:rPr>
      </w:pPr>
      <w:r w:rsidRPr="004A51EA">
        <w:rPr>
          <w:rFonts w:ascii="Arial" w:hAnsi="Arial" w:hint="cs"/>
          <w:b/>
          <w:bCs/>
          <w:noProof w:val="0"/>
          <w:sz w:val="26"/>
          <w:szCs w:val="26"/>
          <w:rtl/>
        </w:rPr>
        <w:t>רו"ח יהושע בליצקי, חבר:</w:t>
      </w:r>
    </w:p>
    <w:p w:rsidR="004A51EA" w:rsidRDefault="004A51EA" w:rsidP="0033392C">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אני מסכים עם חוות דעתו של כבוד יושב ראש הוועדה. </w:t>
      </w:r>
    </w:p>
    <w:p w:rsidR="004A51EA" w:rsidRDefault="004A51EA" w:rsidP="0033392C">
      <w:pPr>
        <w:pStyle w:val="ad"/>
        <w:spacing w:line="360" w:lineRule="auto"/>
        <w:ind w:left="587"/>
        <w:jc w:val="both"/>
        <w:rPr>
          <w:rFonts w:ascii="Arial" w:hAnsi="Arial"/>
          <w:noProof w:val="0"/>
          <w:sz w:val="26"/>
          <w:szCs w:val="26"/>
          <w:rtl/>
        </w:rPr>
      </w:pPr>
    </w:p>
    <w:p w:rsidR="004A51EA" w:rsidRPr="004A51EA" w:rsidRDefault="004A51EA" w:rsidP="0033392C">
      <w:pPr>
        <w:pStyle w:val="ad"/>
        <w:spacing w:line="360" w:lineRule="auto"/>
        <w:ind w:left="587"/>
        <w:jc w:val="both"/>
        <w:rPr>
          <w:rFonts w:ascii="Arial" w:hAnsi="Arial"/>
          <w:b/>
          <w:bCs/>
          <w:noProof w:val="0"/>
          <w:sz w:val="26"/>
          <w:szCs w:val="26"/>
          <w:rtl/>
        </w:rPr>
      </w:pPr>
      <w:r w:rsidRPr="004A51EA">
        <w:rPr>
          <w:rFonts w:ascii="Arial" w:hAnsi="Arial" w:hint="cs"/>
          <w:b/>
          <w:bCs/>
          <w:noProof w:val="0"/>
          <w:sz w:val="26"/>
          <w:szCs w:val="26"/>
          <w:rtl/>
        </w:rPr>
        <w:t>רו"ח צבי פרידמן, חבר:</w:t>
      </w:r>
    </w:p>
    <w:p w:rsidR="004A51EA" w:rsidRDefault="004A51EA" w:rsidP="0033392C">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אני מסכים עם התוצאה אליה הגיע חברי כבוד יו"ר הוועדה בחוות דעתו המלומדת והמנומקת היטב, שיש לדחות את הערר ולהשית על העוררים הוצאות משפטיות על הצד הנמוך. </w:t>
      </w:r>
    </w:p>
    <w:p w:rsidR="004A51EA" w:rsidRDefault="004A51EA" w:rsidP="0033392C">
      <w:pPr>
        <w:pStyle w:val="ad"/>
        <w:spacing w:line="360" w:lineRule="auto"/>
        <w:ind w:left="587"/>
        <w:jc w:val="both"/>
        <w:rPr>
          <w:rFonts w:ascii="Arial" w:hAnsi="Arial"/>
          <w:noProof w:val="0"/>
          <w:sz w:val="26"/>
          <w:szCs w:val="26"/>
          <w:rtl/>
        </w:rPr>
      </w:pPr>
    </w:p>
    <w:p w:rsidR="004A51EA" w:rsidRPr="004A51EA" w:rsidRDefault="009623C0" w:rsidP="004A51EA">
      <w:pPr>
        <w:pStyle w:val="ad"/>
        <w:spacing w:line="360" w:lineRule="auto"/>
        <w:ind w:left="3240"/>
        <w:jc w:val="both"/>
        <w:rPr>
          <w:rFonts w:ascii="Arial" w:hAnsi="Arial"/>
          <w:noProof w:val="0"/>
          <w:sz w:val="26"/>
          <w:szCs w:val="26"/>
          <w:rtl/>
        </w:rPr>
      </w:pPr>
      <w:r>
        <w:rPr>
          <w:rFonts w:ascii="Arial" w:hAnsi="Arial" w:hint="cs"/>
          <w:noProof w:val="0"/>
          <w:sz w:val="26"/>
          <w:szCs w:val="26"/>
          <w:rtl/>
        </w:rPr>
        <w:t xml:space="preserve">        </w:t>
      </w:r>
      <w:r w:rsidR="004A51EA">
        <w:rPr>
          <w:rFonts w:ascii="Arial" w:hAnsi="Arial" w:hint="cs"/>
          <w:noProof w:val="0"/>
          <w:sz w:val="26"/>
          <w:szCs w:val="26"/>
          <w:rtl/>
        </w:rPr>
        <w:t>*</w:t>
      </w:r>
      <w:r w:rsidR="004A51EA" w:rsidRPr="004A51EA">
        <w:rPr>
          <w:rFonts w:ascii="Arial" w:hAnsi="Arial" w:hint="cs"/>
          <w:noProof w:val="0"/>
          <w:sz w:val="26"/>
          <w:szCs w:val="26"/>
          <w:rtl/>
        </w:rPr>
        <w:t>**</w:t>
      </w:r>
    </w:p>
    <w:p w:rsidR="00E1537A" w:rsidRDefault="00E1537A" w:rsidP="0033392C">
      <w:pPr>
        <w:pStyle w:val="ad"/>
        <w:spacing w:line="360" w:lineRule="auto"/>
        <w:ind w:left="587"/>
        <w:jc w:val="both"/>
        <w:rPr>
          <w:rFonts w:ascii="Arial" w:hAnsi="Arial"/>
          <w:noProof w:val="0"/>
          <w:sz w:val="26"/>
          <w:szCs w:val="26"/>
          <w:rtl/>
        </w:rPr>
      </w:pPr>
    </w:p>
    <w:p w:rsidR="004A51EA" w:rsidRDefault="004A51EA" w:rsidP="0033392C">
      <w:pPr>
        <w:pStyle w:val="ad"/>
        <w:spacing w:line="360" w:lineRule="auto"/>
        <w:ind w:left="587"/>
        <w:jc w:val="both"/>
        <w:rPr>
          <w:rFonts w:ascii="Arial" w:hAnsi="Arial"/>
          <w:noProof w:val="0"/>
          <w:sz w:val="26"/>
          <w:szCs w:val="26"/>
          <w:rtl/>
        </w:rPr>
      </w:pPr>
      <w:r>
        <w:rPr>
          <w:rFonts w:ascii="Arial" w:hAnsi="Arial" w:hint="cs"/>
          <w:noProof w:val="0"/>
          <w:sz w:val="26"/>
          <w:szCs w:val="26"/>
          <w:rtl/>
        </w:rPr>
        <w:t xml:space="preserve">הוחלט פה אחד כאמור בחוות דעתו של כבוד השופט קירש. </w:t>
      </w:r>
    </w:p>
    <w:p w:rsidR="00E1537A" w:rsidRDefault="00E1537A" w:rsidP="0033392C">
      <w:pPr>
        <w:pStyle w:val="ad"/>
        <w:spacing w:line="360" w:lineRule="auto"/>
        <w:ind w:left="587"/>
        <w:jc w:val="both"/>
        <w:rPr>
          <w:rFonts w:ascii="Arial" w:hAnsi="Arial"/>
          <w:noProof w:val="0"/>
          <w:sz w:val="26"/>
          <w:szCs w:val="26"/>
          <w:rtl/>
        </w:rPr>
      </w:pPr>
    </w:p>
    <w:p w:rsidR="009623C0" w:rsidRDefault="009623C0" w:rsidP="0033392C">
      <w:pPr>
        <w:pStyle w:val="ad"/>
        <w:spacing w:line="360" w:lineRule="auto"/>
        <w:ind w:left="587"/>
        <w:jc w:val="both"/>
        <w:rPr>
          <w:rFonts w:ascii="Arial" w:hAnsi="Arial"/>
          <w:noProof w:val="0"/>
          <w:sz w:val="26"/>
          <w:szCs w:val="26"/>
          <w:rtl/>
        </w:rPr>
      </w:pPr>
      <w:r>
        <w:rPr>
          <w:rFonts w:ascii="Arial" w:hAnsi="Arial" w:hint="cs"/>
          <w:noProof w:val="0"/>
          <w:sz w:val="26"/>
          <w:szCs w:val="26"/>
          <w:rtl/>
        </w:rPr>
        <w:t>מזכירות ועדת הערר תמציא את פסק הדין לידי באי כוח הצדדים.</w:t>
      </w:r>
    </w:p>
    <w:p w:rsidR="004A51EA" w:rsidRPr="004A51EA" w:rsidRDefault="004A51EA" w:rsidP="004A51EA">
      <w:pPr>
        <w:spacing w:line="360" w:lineRule="auto"/>
        <w:jc w:val="both"/>
        <w:rPr>
          <w:rFonts w:ascii="Arial" w:hAnsi="Arial"/>
          <w:noProof w:val="0"/>
          <w:sz w:val="26"/>
          <w:szCs w:val="26"/>
          <w:rtl/>
        </w:rPr>
      </w:pPr>
    </w:p>
    <w:p w:rsidR="00694556" w:rsidRDefault="000C60F2" w:rsidP="0046310A">
      <w:pPr>
        <w:spacing w:line="360" w:lineRule="auto"/>
        <w:jc w:val="both"/>
        <w:rPr>
          <w:rFonts w:ascii="Arial" w:hAnsi="Arial"/>
          <w:noProof w:val="0"/>
          <w:rtl/>
        </w:rPr>
      </w:pPr>
      <w:r>
        <w:rPr>
          <w:rFonts w:ascii="Arial" w:hAnsi="Arial"/>
          <w:noProof w:val="0"/>
          <w:rtl/>
        </w:rPr>
        <w:t xml:space="preserve">ניתן היום,  </w:t>
      </w:r>
      <w:r w:rsidR="0046310A">
        <w:rPr>
          <w:rFonts w:ascii="Arial" w:hAnsi="Arial" w:hint="cs"/>
          <w:noProof w:val="0"/>
          <w:rtl/>
        </w:rPr>
        <w:t>כ"ח</w:t>
      </w:r>
      <w:r w:rsidR="00005C8B">
        <w:rPr>
          <w:rFonts w:ascii="Arial" w:hAnsi="Arial"/>
          <w:noProof w:val="0"/>
          <w:rtl/>
        </w:rPr>
        <w:t xml:space="preserve"> תשרי תשפ"ה, </w:t>
      </w:r>
      <w:r w:rsidR="0046310A">
        <w:rPr>
          <w:rFonts w:ascii="Arial" w:hAnsi="Arial" w:hint="cs"/>
          <w:noProof w:val="0"/>
          <w:rtl/>
        </w:rPr>
        <w:t>30</w:t>
      </w:r>
      <w:r>
        <w:rPr>
          <w:rFonts w:ascii="Arial" w:hAnsi="Arial" w:hint="cs"/>
          <w:noProof w:val="0"/>
          <w:rtl/>
        </w:rPr>
        <w:t xml:space="preserve"> </w:t>
      </w:r>
      <w:r w:rsidR="00005C8B">
        <w:rPr>
          <w:rFonts w:ascii="Arial" w:hAnsi="Arial"/>
          <w:noProof w:val="0"/>
          <w:rtl/>
        </w:rPr>
        <w:t>אוקטובר 2024, בהעדר הצדדים.</w:t>
      </w:r>
    </w:p>
    <w:p w:rsidR="00694556" w:rsidRDefault="00694556">
      <w:pPr>
        <w:spacing w:line="360" w:lineRule="auto"/>
        <w:jc w:val="both"/>
        <w:rPr>
          <w:rFonts w:ascii="Arial" w:hAnsi="Arial"/>
          <w:noProof w:val="0"/>
          <w:rtl/>
        </w:rPr>
      </w:pPr>
    </w:p>
    <w:p w:rsidR="00694556" w:rsidRDefault="00005C8B">
      <w:pPr>
        <w:spacing w:line="360" w:lineRule="auto"/>
        <w:ind w:left="3600" w:firstLine="720"/>
        <w:jc w:val="both"/>
        <w:rPr>
          <w:rFonts w:ascii="Arial" w:hAnsi="Arial"/>
          <w:noProof w:val="0"/>
          <w:rtl/>
        </w:rPr>
      </w:pPr>
      <w:r>
        <w:rPr>
          <w:rFonts w:ascii="Arial" w:hAnsi="Arial"/>
          <w:noProof w:val="0"/>
          <w:rtl/>
        </w:rPr>
        <w:t>חתימה</w:t>
      </w:r>
    </w:p>
    <w:p w:rsidR="009623C0" w:rsidRDefault="009623C0">
      <w:pPr>
        <w:rPr>
          <w:rtl/>
        </w:rPr>
      </w:pPr>
    </w:p>
    <w:tbl>
      <w:tblPr>
        <w:tblStyle w:val="aa"/>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64"/>
        <w:gridCol w:w="232"/>
        <w:gridCol w:w="2676"/>
        <w:gridCol w:w="279"/>
        <w:gridCol w:w="2656"/>
      </w:tblGrid>
      <w:tr w:rsidR="009623C0" w:rsidTr="000B3508">
        <w:trPr>
          <w:jc w:val="center"/>
        </w:trPr>
        <w:tc>
          <w:tcPr>
            <w:tcW w:w="2960" w:type="dxa"/>
            <w:tcBorders>
              <w:top w:val="nil"/>
              <w:left w:val="nil"/>
              <w:bottom w:val="single" w:sz="4" w:space="0" w:color="auto"/>
              <w:right w:val="nil"/>
            </w:tcBorders>
            <w:vAlign w:val="center"/>
          </w:tcPr>
          <w:p w:rsidR="009623C0" w:rsidRDefault="009623C0">
            <w:pPr>
              <w:jc w:val="center"/>
              <w:rPr>
                <w:rFonts w:ascii="Courier New" w:hAnsi="Courier New"/>
                <w:b/>
                <w:bCs/>
              </w:rPr>
            </w:pPr>
            <w:r>
              <w:drawing>
                <wp:inline distT="0" distB="0" distL="0" distR="0" wp14:anchorId="7CF97CD2" wp14:editId="0A3690EF">
                  <wp:extent cx="570230" cy="937895"/>
                  <wp:effectExtent l="0" t="0" r="0" b="0"/>
                  <wp:docPr id="3" name="תמונה 3"/>
                  <wp:cNvGraphicFramePr/>
                  <a:graphic xmlns:a="http://schemas.openxmlformats.org/drawingml/2006/main">
                    <a:graphicData uri="http://schemas.openxmlformats.org/drawingml/2006/picture">
                      <pic:pic xmlns:pic="http://schemas.openxmlformats.org/drawingml/2006/picture">
                        <pic:nvPicPr>
                          <pic:cNvPr id="2" name="תמונה 2"/>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230" cy="937895"/>
                          </a:xfrm>
                          <a:prstGeom prst="rect">
                            <a:avLst/>
                          </a:prstGeom>
                          <a:noFill/>
                          <a:ln>
                            <a:noFill/>
                          </a:ln>
                        </pic:spPr>
                      </pic:pic>
                    </a:graphicData>
                  </a:graphic>
                </wp:inline>
              </w:drawing>
            </w:r>
          </w:p>
        </w:tc>
        <w:tc>
          <w:tcPr>
            <w:tcW w:w="236" w:type="dxa"/>
            <w:vAlign w:val="center"/>
          </w:tcPr>
          <w:p w:rsidR="009623C0" w:rsidRDefault="009623C0">
            <w:pPr>
              <w:jc w:val="center"/>
              <w:rPr>
                <w:rFonts w:ascii="Courier New" w:hAnsi="Courier New"/>
                <w:b/>
                <w:bCs/>
              </w:rPr>
            </w:pPr>
          </w:p>
        </w:tc>
        <w:tc>
          <w:tcPr>
            <w:tcW w:w="2289" w:type="dxa"/>
            <w:tcBorders>
              <w:top w:val="nil"/>
              <w:left w:val="nil"/>
              <w:bottom w:val="single" w:sz="4" w:space="0" w:color="auto"/>
              <w:right w:val="nil"/>
            </w:tcBorders>
            <w:vAlign w:val="center"/>
          </w:tcPr>
          <w:p w:rsidR="009623C0" w:rsidRPr="00C63BDF" w:rsidRDefault="009623C0">
            <w:pPr>
              <w:jc w:val="center"/>
              <w:rPr>
                <w:rFonts w:ascii="Courier New" w:hAnsi="Courier New"/>
                <w:b/>
                <w:bCs/>
                <w:sz w:val="20"/>
                <w:szCs w:val="20"/>
              </w:rPr>
            </w:pPr>
            <w:r>
              <w:rPr>
                <w:rFonts w:ascii="Courier New" w:hAnsi="Courier New"/>
                <w:b/>
                <w:bCs/>
                <w:sz w:val="20"/>
                <w:szCs w:val="20"/>
              </w:rPr>
              <w:drawing>
                <wp:inline distT="0" distB="0" distL="0" distR="0" wp14:anchorId="02D1007A">
                  <wp:extent cx="1554480" cy="743585"/>
                  <wp:effectExtent l="0" t="0" r="762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4480" cy="743585"/>
                          </a:xfrm>
                          <a:prstGeom prst="rect">
                            <a:avLst/>
                          </a:prstGeom>
                          <a:noFill/>
                        </pic:spPr>
                      </pic:pic>
                    </a:graphicData>
                  </a:graphic>
                </wp:inline>
              </w:drawing>
            </w:r>
          </w:p>
        </w:tc>
        <w:tc>
          <w:tcPr>
            <w:tcW w:w="300" w:type="dxa"/>
            <w:vAlign w:val="center"/>
          </w:tcPr>
          <w:p w:rsidR="009623C0" w:rsidRDefault="009623C0">
            <w:pPr>
              <w:jc w:val="center"/>
              <w:rPr>
                <w:rFonts w:ascii="Courier New" w:hAnsi="Courier New"/>
                <w:b/>
                <w:bCs/>
              </w:rPr>
            </w:pPr>
          </w:p>
        </w:tc>
        <w:tc>
          <w:tcPr>
            <w:tcW w:w="2737" w:type="dxa"/>
            <w:tcBorders>
              <w:top w:val="nil"/>
              <w:left w:val="nil"/>
              <w:bottom w:val="single" w:sz="4" w:space="0" w:color="auto"/>
              <w:right w:val="nil"/>
            </w:tcBorders>
            <w:vAlign w:val="center"/>
          </w:tcPr>
          <w:p w:rsidR="009623C0" w:rsidRPr="00A12496" w:rsidRDefault="009623C0">
            <w:pPr>
              <w:jc w:val="center"/>
              <w:rPr>
                <w:rFonts w:ascii="Courier New" w:hAnsi="Courier New"/>
                <w:b/>
                <w:bCs/>
                <w:sz w:val="20"/>
                <w:szCs w:val="20"/>
              </w:rPr>
            </w:pPr>
            <w:r>
              <w:drawing>
                <wp:inline distT="0" distB="0" distL="0" distR="0" wp14:anchorId="4A3C5226" wp14:editId="2F062829">
                  <wp:extent cx="1400175" cy="628650"/>
                  <wp:effectExtent l="0" t="0" r="9525" b="0"/>
                  <wp:docPr id="5" name="תמונה 5"/>
                  <wp:cNvGraphicFramePr/>
                  <a:graphic xmlns:a="http://schemas.openxmlformats.org/drawingml/2006/main">
                    <a:graphicData uri="http://schemas.openxmlformats.org/drawingml/2006/picture">
                      <pic:pic xmlns:pic="http://schemas.openxmlformats.org/drawingml/2006/picture">
                        <pic:nvPicPr>
                          <pic:cNvPr id="5" name="תמונה 5"/>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0175" cy="628650"/>
                          </a:xfrm>
                          <a:prstGeom prst="rect">
                            <a:avLst/>
                          </a:prstGeom>
                          <a:noFill/>
                          <a:ln>
                            <a:noFill/>
                          </a:ln>
                        </pic:spPr>
                      </pic:pic>
                    </a:graphicData>
                  </a:graphic>
                </wp:inline>
              </w:drawing>
            </w:r>
          </w:p>
        </w:tc>
      </w:tr>
      <w:tr w:rsidR="009623C0" w:rsidTr="000B3508">
        <w:trPr>
          <w:jc w:val="center"/>
        </w:trPr>
        <w:tc>
          <w:tcPr>
            <w:tcW w:w="2960" w:type="dxa"/>
            <w:tcBorders>
              <w:top w:val="single" w:sz="4" w:space="0" w:color="auto"/>
              <w:left w:val="nil"/>
              <w:bottom w:val="nil"/>
              <w:right w:val="nil"/>
            </w:tcBorders>
            <w:vAlign w:val="bottom"/>
          </w:tcPr>
          <w:p w:rsidR="009623C0" w:rsidRPr="00D57288" w:rsidRDefault="00823C7D" w:rsidP="000B3508">
            <w:pPr>
              <w:jc w:val="center"/>
              <w:rPr>
                <w:rFonts w:ascii="Calibri" w:hAnsi="Calibri"/>
                <w:b/>
                <w:bCs/>
                <w:sz w:val="26"/>
                <w:szCs w:val="26"/>
                <w:rtl/>
              </w:rPr>
            </w:pPr>
            <w:r>
              <w:rPr>
                <w:rFonts w:ascii="Calibri" w:hAnsi="Calibri" w:hint="cs"/>
                <w:b/>
                <w:bCs/>
                <w:sz w:val="26"/>
                <w:szCs w:val="26"/>
                <w:rtl/>
              </w:rPr>
              <w:t xml:space="preserve">ה' </w:t>
            </w:r>
            <w:r w:rsidR="009623C0">
              <w:rPr>
                <w:rFonts w:ascii="Calibri" w:hAnsi="Calibri" w:hint="cs"/>
                <w:b/>
                <w:bCs/>
                <w:sz w:val="26"/>
                <w:szCs w:val="26"/>
                <w:rtl/>
              </w:rPr>
              <w:t>קירש</w:t>
            </w:r>
            <w:r w:rsidR="009623C0" w:rsidRPr="00D57288">
              <w:rPr>
                <w:rFonts w:ascii="Calibri" w:hAnsi="Calibri"/>
                <w:b/>
                <w:bCs/>
                <w:sz w:val="26"/>
                <w:szCs w:val="26"/>
                <w:rtl/>
              </w:rPr>
              <w:t xml:space="preserve">, </w:t>
            </w:r>
            <w:r w:rsidR="009623C0">
              <w:rPr>
                <w:rFonts w:ascii="Calibri" w:hAnsi="Calibri" w:hint="cs"/>
                <w:b/>
                <w:bCs/>
                <w:sz w:val="26"/>
                <w:szCs w:val="26"/>
                <w:rtl/>
              </w:rPr>
              <w:t>שופט</w:t>
            </w:r>
          </w:p>
          <w:p w:rsidR="009623C0" w:rsidRPr="000B3508" w:rsidRDefault="009623C0" w:rsidP="000B3508">
            <w:pPr>
              <w:jc w:val="center"/>
              <w:rPr>
                <w:rFonts w:ascii="Calibri" w:hAnsi="Calibri"/>
                <w:b/>
                <w:bCs/>
                <w:sz w:val="26"/>
                <w:szCs w:val="26"/>
              </w:rPr>
            </w:pPr>
            <w:r>
              <w:rPr>
                <w:rFonts w:ascii="Calibri" w:hAnsi="Calibri" w:hint="cs"/>
                <w:b/>
                <w:bCs/>
                <w:sz w:val="26"/>
                <w:szCs w:val="26"/>
                <w:rtl/>
              </w:rPr>
              <w:t>יו"ר</w:t>
            </w:r>
          </w:p>
        </w:tc>
        <w:tc>
          <w:tcPr>
            <w:tcW w:w="236" w:type="dxa"/>
            <w:vAlign w:val="bottom"/>
          </w:tcPr>
          <w:p w:rsidR="009623C0" w:rsidRDefault="009623C0">
            <w:pPr>
              <w:jc w:val="center"/>
              <w:rPr>
                <w:rFonts w:ascii="Courier New" w:hAnsi="Courier New"/>
                <w:b/>
                <w:bCs/>
              </w:rPr>
            </w:pPr>
          </w:p>
        </w:tc>
        <w:tc>
          <w:tcPr>
            <w:tcW w:w="2289" w:type="dxa"/>
            <w:tcBorders>
              <w:top w:val="single" w:sz="4" w:space="0" w:color="auto"/>
              <w:left w:val="nil"/>
              <w:bottom w:val="nil"/>
              <w:right w:val="nil"/>
            </w:tcBorders>
          </w:tcPr>
          <w:p w:rsidR="009623C0" w:rsidRPr="00D57288" w:rsidRDefault="009623C0" w:rsidP="00B8776E">
            <w:pPr>
              <w:jc w:val="center"/>
              <w:rPr>
                <w:rFonts w:ascii="Calibri" w:hAnsi="Calibri"/>
                <w:b/>
                <w:bCs/>
                <w:sz w:val="26"/>
                <w:szCs w:val="26"/>
                <w:rtl/>
              </w:rPr>
            </w:pPr>
            <w:r w:rsidRPr="00D57288">
              <w:rPr>
                <w:rFonts w:ascii="Calibri" w:hAnsi="Calibri" w:hint="eastAsia"/>
                <w:b/>
                <w:bCs/>
                <w:sz w:val="26"/>
                <w:szCs w:val="26"/>
                <w:rtl/>
              </w:rPr>
              <w:t>צבי</w:t>
            </w:r>
            <w:r w:rsidRPr="00D57288">
              <w:rPr>
                <w:rFonts w:ascii="Calibri" w:hAnsi="Calibri"/>
                <w:b/>
                <w:bCs/>
                <w:sz w:val="26"/>
                <w:szCs w:val="26"/>
                <w:rtl/>
              </w:rPr>
              <w:t xml:space="preserve"> </w:t>
            </w:r>
            <w:r w:rsidRPr="00D57288">
              <w:rPr>
                <w:rFonts w:ascii="Calibri" w:hAnsi="Calibri" w:hint="eastAsia"/>
                <w:b/>
                <w:bCs/>
                <w:sz w:val="26"/>
                <w:szCs w:val="26"/>
                <w:rtl/>
              </w:rPr>
              <w:t>פרידמן</w:t>
            </w:r>
            <w:r w:rsidRPr="00D57288">
              <w:rPr>
                <w:rFonts w:ascii="Calibri" w:hAnsi="Calibri"/>
                <w:b/>
                <w:bCs/>
                <w:sz w:val="26"/>
                <w:szCs w:val="26"/>
                <w:rtl/>
              </w:rPr>
              <w:t xml:space="preserve">, </w:t>
            </w:r>
            <w:r w:rsidRPr="00D57288">
              <w:rPr>
                <w:rFonts w:ascii="Calibri" w:hAnsi="Calibri" w:hint="eastAsia"/>
                <w:b/>
                <w:bCs/>
                <w:sz w:val="26"/>
                <w:szCs w:val="26"/>
                <w:rtl/>
              </w:rPr>
              <w:t>רו</w:t>
            </w:r>
            <w:r w:rsidRPr="00D57288">
              <w:rPr>
                <w:rFonts w:ascii="Calibri" w:hAnsi="Calibri"/>
                <w:b/>
                <w:bCs/>
                <w:sz w:val="26"/>
                <w:szCs w:val="26"/>
                <w:rtl/>
              </w:rPr>
              <w:t>"</w:t>
            </w:r>
            <w:r w:rsidRPr="00D57288">
              <w:rPr>
                <w:rFonts w:ascii="Calibri" w:hAnsi="Calibri" w:hint="eastAsia"/>
                <w:b/>
                <w:bCs/>
                <w:sz w:val="26"/>
                <w:szCs w:val="26"/>
                <w:rtl/>
              </w:rPr>
              <w:t>ח</w:t>
            </w:r>
          </w:p>
          <w:p w:rsidR="009623C0" w:rsidRDefault="009623C0" w:rsidP="00B8776E">
            <w:pPr>
              <w:jc w:val="center"/>
              <w:rPr>
                <w:rFonts w:ascii="Courier New" w:hAnsi="Courier New"/>
                <w:b/>
                <w:bCs/>
              </w:rPr>
            </w:pPr>
            <w:r w:rsidRPr="00D57288">
              <w:rPr>
                <w:rFonts w:ascii="Calibri" w:hAnsi="Calibri" w:hint="eastAsia"/>
                <w:b/>
                <w:bCs/>
                <w:sz w:val="26"/>
                <w:szCs w:val="26"/>
                <w:rtl/>
              </w:rPr>
              <w:t>חבר</w:t>
            </w:r>
          </w:p>
        </w:tc>
        <w:tc>
          <w:tcPr>
            <w:tcW w:w="300" w:type="dxa"/>
          </w:tcPr>
          <w:p w:rsidR="009623C0" w:rsidRDefault="009623C0">
            <w:pPr>
              <w:jc w:val="center"/>
              <w:rPr>
                <w:rFonts w:ascii="Courier New" w:hAnsi="Courier New"/>
                <w:b/>
                <w:bCs/>
              </w:rPr>
            </w:pPr>
          </w:p>
        </w:tc>
        <w:tc>
          <w:tcPr>
            <w:tcW w:w="2737" w:type="dxa"/>
            <w:tcBorders>
              <w:top w:val="single" w:sz="4" w:space="0" w:color="auto"/>
              <w:left w:val="nil"/>
              <w:bottom w:val="nil"/>
              <w:right w:val="nil"/>
            </w:tcBorders>
          </w:tcPr>
          <w:p w:rsidR="009623C0" w:rsidRDefault="009623C0" w:rsidP="00835DDB">
            <w:pPr>
              <w:jc w:val="center"/>
              <w:rPr>
                <w:rFonts w:ascii="Calibri" w:hAnsi="Calibri"/>
                <w:b/>
                <w:bCs/>
                <w:sz w:val="26"/>
                <w:szCs w:val="26"/>
                <w:rtl/>
              </w:rPr>
            </w:pPr>
            <w:r>
              <w:rPr>
                <w:rFonts w:ascii="Courier New" w:hAnsi="Courier New" w:hint="cs"/>
                <w:b/>
                <w:bCs/>
                <w:rtl/>
              </w:rPr>
              <w:t>יהושע בליצקי</w:t>
            </w:r>
            <w:r w:rsidRPr="00DC7B26">
              <w:rPr>
                <w:rFonts w:ascii="Courier New" w:hAnsi="Courier New"/>
                <w:b/>
                <w:bCs/>
                <w:rtl/>
              </w:rPr>
              <w:t xml:space="preserve">, </w:t>
            </w:r>
            <w:r>
              <w:rPr>
                <w:rFonts w:ascii="Courier New" w:hAnsi="Courier New" w:hint="cs"/>
                <w:b/>
                <w:bCs/>
                <w:rtl/>
              </w:rPr>
              <w:t>רו"ח</w:t>
            </w:r>
          </w:p>
          <w:p w:rsidR="009623C0" w:rsidRPr="000B3508" w:rsidRDefault="009623C0" w:rsidP="000B3508">
            <w:pPr>
              <w:jc w:val="center"/>
              <w:rPr>
                <w:rFonts w:ascii="Calibri" w:hAnsi="Calibri"/>
                <w:b/>
                <w:bCs/>
                <w:sz w:val="26"/>
                <w:szCs w:val="26"/>
              </w:rPr>
            </w:pPr>
            <w:r w:rsidRPr="00D57288">
              <w:rPr>
                <w:rFonts w:ascii="Calibri" w:hAnsi="Calibri" w:hint="eastAsia"/>
                <w:b/>
                <w:bCs/>
                <w:sz w:val="26"/>
                <w:szCs w:val="26"/>
                <w:rtl/>
              </w:rPr>
              <w:t>חבר</w:t>
            </w:r>
          </w:p>
        </w:tc>
      </w:tr>
    </w:tbl>
    <w:p w:rsidR="009623C0" w:rsidRDefault="009623C0"/>
    <w:p w:rsidR="009623C0" w:rsidRPr="009623C0" w:rsidRDefault="009623C0">
      <w:pPr>
        <w:spacing w:line="360" w:lineRule="auto"/>
        <w:ind w:left="3600" w:firstLine="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B57180">
      <w:headerReference w:type="even" r:id="rId13"/>
      <w:headerReference w:type="default" r:id="rId14"/>
      <w:footerReference w:type="even" r:id="rId15"/>
      <w:footerReference w:type="default" r:id="rId16"/>
      <w:headerReference w:type="first" r:id="rId17"/>
      <w:footerReference w:type="first" r:id="rId18"/>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969" w:rsidRDefault="00113969">
      <w:r>
        <w:separator/>
      </w:r>
    </w:p>
  </w:endnote>
  <w:endnote w:type="continuationSeparator" w:id="0">
    <w:p w:rsidR="00113969" w:rsidRDefault="00113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237" w:rsidRDefault="0087623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BE0BE9">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9328DF">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9328DF">
      <w:rPr>
        <w:rStyle w:val="ac"/>
        <w:rtl/>
      </w:rPr>
      <w:t>20</w:t>
    </w:r>
    <w:r w:rsidRPr="004E6E3C">
      <w:rPr>
        <w:rStyle w:val="a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237" w:rsidRDefault="0087623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969" w:rsidRDefault="00113969">
      <w:r>
        <w:separator/>
      </w:r>
    </w:p>
  </w:footnote>
  <w:footnote w:type="continuationSeparator" w:id="0">
    <w:p w:rsidR="00113969" w:rsidRDefault="00113969">
      <w:r>
        <w:continuationSeparator/>
      </w:r>
    </w:p>
  </w:footnote>
  <w:footnote w:id="1">
    <w:p w:rsidR="00C846CD" w:rsidRPr="00643834" w:rsidRDefault="00C846CD" w:rsidP="00C846CD">
      <w:pPr>
        <w:pStyle w:val="ae"/>
        <w:rPr>
          <w:sz w:val="22"/>
          <w:szCs w:val="22"/>
          <w:rtl/>
        </w:rPr>
      </w:pPr>
      <w:r w:rsidRPr="00643834">
        <w:rPr>
          <w:rStyle w:val="af0"/>
          <w:sz w:val="22"/>
          <w:szCs w:val="22"/>
        </w:rPr>
        <w:footnoteRef/>
      </w:r>
      <w:r w:rsidRPr="00643834">
        <w:rPr>
          <w:sz w:val="22"/>
          <w:szCs w:val="22"/>
          <w:rtl/>
        </w:rPr>
        <w:t xml:space="preserve"> </w:t>
      </w:r>
      <w:r w:rsidRPr="00643834">
        <w:rPr>
          <w:rFonts w:hint="cs"/>
          <w:sz w:val="22"/>
          <w:szCs w:val="22"/>
          <w:rtl/>
        </w:rPr>
        <w:t xml:space="preserve">יוער כי לאחרונה נערכו שינויים מהותיים בתקנה 12 הנדונה </w:t>
      </w:r>
      <w:r w:rsidRPr="00643834">
        <w:rPr>
          <w:sz w:val="22"/>
          <w:szCs w:val="22"/>
          <w:rtl/>
        </w:rPr>
        <w:t>–</w:t>
      </w:r>
      <w:r w:rsidRPr="00643834">
        <w:rPr>
          <w:rFonts w:hint="cs"/>
          <w:sz w:val="22"/>
          <w:szCs w:val="22"/>
          <w:rtl/>
        </w:rPr>
        <w:t xml:space="preserve"> ראו תקנות מיסוי מקרקעין (שבח ורכישה) (מס רכישה) (תיקון), התשפ"ד-2024, קובץ התקנות 11414, מיום 12.8.2024. הנוסח החדש של התקנה איננו חל לגבי אירוע המס מושא פסק הדין. </w:t>
      </w:r>
    </w:p>
  </w:footnote>
  <w:footnote w:id="2">
    <w:p w:rsidR="004C2BD2" w:rsidRDefault="004C2BD2" w:rsidP="004740D9">
      <w:pPr>
        <w:pStyle w:val="ad"/>
        <w:ind w:left="587"/>
        <w:jc w:val="both"/>
        <w:rPr>
          <w:sz w:val="22"/>
          <w:szCs w:val="22"/>
          <w:rtl/>
        </w:rPr>
      </w:pPr>
      <w:r w:rsidRPr="007630D9">
        <w:rPr>
          <w:rStyle w:val="af0"/>
          <w:sz w:val="22"/>
          <w:szCs w:val="22"/>
        </w:rPr>
        <w:footnoteRef/>
      </w:r>
      <w:r w:rsidRPr="007630D9">
        <w:rPr>
          <w:rStyle w:val="af0"/>
          <w:sz w:val="22"/>
          <w:szCs w:val="22"/>
          <w:rtl/>
        </w:rPr>
        <w:t xml:space="preserve"> </w:t>
      </w:r>
      <w:r w:rsidRPr="007630D9">
        <w:rPr>
          <w:rStyle w:val="af0"/>
          <w:rFonts w:hint="cs"/>
          <w:sz w:val="22"/>
          <w:szCs w:val="22"/>
          <w:rtl/>
        </w:rPr>
        <w:t xml:space="preserve"> </w:t>
      </w:r>
      <w:r w:rsidR="007630D9" w:rsidRPr="007630D9">
        <w:rPr>
          <w:rFonts w:hint="cs"/>
          <w:sz w:val="22"/>
          <w:szCs w:val="22"/>
          <w:rtl/>
        </w:rPr>
        <w:t>יוער כי</w:t>
      </w:r>
      <w:r w:rsidR="007630D9">
        <w:rPr>
          <w:rFonts w:hint="cs"/>
          <w:sz w:val="22"/>
          <w:szCs w:val="22"/>
          <w:rtl/>
        </w:rPr>
        <w:t xml:space="preserve"> </w:t>
      </w:r>
      <w:r w:rsidRPr="00AA3EA9">
        <w:rPr>
          <w:rFonts w:hint="cs"/>
          <w:sz w:val="22"/>
          <w:szCs w:val="22"/>
          <w:rtl/>
        </w:rPr>
        <w:t xml:space="preserve">הגדרת "עולה" שבתקנה 12 הוחלפה בשנת 1987 </w:t>
      </w:r>
      <w:r w:rsidR="007630D9">
        <w:rPr>
          <w:rFonts w:hint="cs"/>
          <w:sz w:val="22"/>
          <w:szCs w:val="22"/>
          <w:rtl/>
        </w:rPr>
        <w:t xml:space="preserve">(ק"ת 5013, 8.3.1987, בעמוד 574); </w:t>
      </w:r>
      <w:r w:rsidR="004740D9" w:rsidRPr="00AA3EA9">
        <w:rPr>
          <w:rFonts w:hint="cs"/>
          <w:sz w:val="22"/>
          <w:szCs w:val="22"/>
          <w:rtl/>
        </w:rPr>
        <w:t>תוכן ההגדרה הקודמת היה</w:t>
      </w:r>
      <w:r w:rsidR="004740D9" w:rsidRPr="00AA3EA9">
        <w:rPr>
          <w:rStyle w:val="af0"/>
          <w:rFonts w:hint="cs"/>
          <w:sz w:val="22"/>
          <w:szCs w:val="22"/>
          <w:rtl/>
        </w:rPr>
        <w:t xml:space="preserve"> </w:t>
      </w:r>
      <w:r w:rsidR="007630D9">
        <w:rPr>
          <w:rFonts w:hint="cs"/>
          <w:sz w:val="22"/>
          <w:szCs w:val="22"/>
          <w:rtl/>
        </w:rPr>
        <w:t>דומה מאוד במהותו להגדרה הנוכחית.</w:t>
      </w:r>
    </w:p>
    <w:p w:rsidR="003A7417" w:rsidRPr="00AA3EA9" w:rsidRDefault="003A7417" w:rsidP="004740D9">
      <w:pPr>
        <w:pStyle w:val="ad"/>
        <w:ind w:left="587"/>
        <w:jc w:val="both"/>
        <w:rPr>
          <w:sz w:val="22"/>
          <w:szCs w:val="22"/>
          <w:rtl/>
        </w:rPr>
      </w:pPr>
    </w:p>
  </w:footnote>
  <w:footnote w:id="3">
    <w:p w:rsidR="009E22CF" w:rsidRPr="00AA3EA9" w:rsidRDefault="009E22CF" w:rsidP="00244723">
      <w:pPr>
        <w:pStyle w:val="ad"/>
        <w:spacing w:line="276" w:lineRule="auto"/>
        <w:ind w:left="587"/>
        <w:jc w:val="both"/>
        <w:rPr>
          <w:rFonts w:ascii="Arial" w:hAnsi="Arial"/>
          <w:noProof w:val="0"/>
          <w:sz w:val="22"/>
          <w:szCs w:val="22"/>
        </w:rPr>
      </w:pPr>
      <w:r w:rsidRPr="00AA3EA9">
        <w:rPr>
          <w:rStyle w:val="af0"/>
          <w:sz w:val="22"/>
          <w:szCs w:val="22"/>
        </w:rPr>
        <w:footnoteRef/>
      </w:r>
      <w:r w:rsidRPr="00AA3EA9">
        <w:rPr>
          <w:sz w:val="22"/>
          <w:szCs w:val="22"/>
          <w:rtl/>
        </w:rPr>
        <w:t xml:space="preserve"> </w:t>
      </w:r>
      <w:r w:rsidR="00776C70" w:rsidRPr="00AA3EA9">
        <w:rPr>
          <w:rFonts w:hint="cs"/>
          <w:sz w:val="22"/>
          <w:szCs w:val="22"/>
          <w:rtl/>
        </w:rPr>
        <w:t xml:space="preserve">הצדדים לערר לא הזכירו את סעיף 4 לחוק השבות, לפיו </w:t>
      </w:r>
      <w:r w:rsidR="00776C70" w:rsidRPr="00AA3EA9">
        <w:rPr>
          <w:rFonts w:hint="cs"/>
          <w:b/>
          <w:bCs/>
          <w:sz w:val="22"/>
          <w:szCs w:val="22"/>
          <w:rtl/>
        </w:rPr>
        <w:t>"... כל יהודי שנולד בארץ בין לפני תחילת תקפו של</w:t>
      </w:r>
      <w:r w:rsidR="00776C70" w:rsidRPr="00AA3EA9">
        <w:rPr>
          <w:rFonts w:hint="cs"/>
          <w:sz w:val="22"/>
          <w:szCs w:val="22"/>
          <w:rtl/>
        </w:rPr>
        <w:t xml:space="preserve"> </w:t>
      </w:r>
      <w:r w:rsidR="00776C70" w:rsidRPr="00AA3EA9">
        <w:rPr>
          <w:rFonts w:hint="cs"/>
          <w:b/>
          <w:bCs/>
          <w:sz w:val="22"/>
          <w:szCs w:val="22"/>
          <w:rtl/>
        </w:rPr>
        <w:t>חוק זה ובין לאחריה, דינו כדין מי שעלה לפי חוק זה</w:t>
      </w:r>
      <w:r w:rsidR="00776C70" w:rsidRPr="00AA3EA9">
        <w:rPr>
          <w:rFonts w:hint="cs"/>
          <w:sz w:val="22"/>
          <w:szCs w:val="22"/>
          <w:rtl/>
        </w:rPr>
        <w:t xml:space="preserve">". </w:t>
      </w:r>
      <w:r w:rsidRPr="00AA3EA9">
        <w:rPr>
          <w:rFonts w:ascii="Arial" w:hAnsi="Arial" w:hint="cs"/>
          <w:noProof w:val="0"/>
          <w:sz w:val="22"/>
          <w:szCs w:val="22"/>
          <w:rtl/>
        </w:rPr>
        <w:t>מעיון בדברי ההסבר לחקיקת חוק השבות (ה"ח 48, תש"י, עמוד 189, מיום 27.6.1950) ובפרוטוקול הדיון בהצעה בוועדת החוקה חוק ומשפט מ</w:t>
      </w:r>
      <w:r w:rsidR="00244723" w:rsidRPr="00AA3EA9">
        <w:rPr>
          <w:rFonts w:ascii="Arial" w:hAnsi="Arial" w:hint="cs"/>
          <w:noProof w:val="0"/>
          <w:sz w:val="22"/>
          <w:szCs w:val="22"/>
          <w:rtl/>
        </w:rPr>
        <w:t>יום 5.7.1950, ברי כי לא הייתה</w:t>
      </w:r>
      <w:r w:rsidR="007630D9">
        <w:rPr>
          <w:rFonts w:ascii="Arial" w:hAnsi="Arial" w:hint="cs"/>
          <w:noProof w:val="0"/>
          <w:sz w:val="22"/>
          <w:szCs w:val="22"/>
          <w:rtl/>
        </w:rPr>
        <w:t xml:space="preserve"> כוונה להעניק</w:t>
      </w:r>
      <w:r w:rsidRPr="00AA3EA9">
        <w:rPr>
          <w:rFonts w:ascii="Arial" w:hAnsi="Arial" w:hint="cs"/>
          <w:noProof w:val="0"/>
          <w:sz w:val="22"/>
          <w:szCs w:val="22"/>
          <w:rtl/>
        </w:rPr>
        <w:t xml:space="preserve"> כל הטבה שתינתן בעתיד ל"עולים"</w:t>
      </w:r>
      <w:r w:rsidR="00244723" w:rsidRPr="00AA3EA9">
        <w:rPr>
          <w:rFonts w:ascii="Arial" w:hAnsi="Arial" w:hint="cs"/>
          <w:noProof w:val="0"/>
          <w:sz w:val="22"/>
          <w:szCs w:val="22"/>
          <w:rtl/>
        </w:rPr>
        <w:t>, בחיקוק כלשהו,</w:t>
      </w:r>
      <w:r w:rsidR="001C5A8B">
        <w:rPr>
          <w:rFonts w:ascii="Arial" w:hAnsi="Arial" w:hint="cs"/>
          <w:noProof w:val="0"/>
          <w:sz w:val="22"/>
          <w:szCs w:val="22"/>
          <w:rtl/>
        </w:rPr>
        <w:t xml:space="preserve"> גם לכל</w:t>
      </w:r>
      <w:r w:rsidRPr="00AA3EA9">
        <w:rPr>
          <w:rFonts w:ascii="Arial" w:hAnsi="Arial" w:hint="cs"/>
          <w:noProof w:val="0"/>
          <w:sz w:val="22"/>
          <w:szCs w:val="22"/>
          <w:rtl/>
        </w:rPr>
        <w:t xml:space="preserve"> מי שנולדו בארץ, לרבות אלה שנולדו בארץ לאחר תחילת תוקפו של החוק </w:t>
      </w:r>
      <w:r w:rsidRPr="00AA3EA9">
        <w:rPr>
          <w:rFonts w:ascii="Arial" w:hAnsi="Arial"/>
          <w:noProof w:val="0"/>
          <w:sz w:val="22"/>
          <w:szCs w:val="22"/>
          <w:rtl/>
        </w:rPr>
        <w:t>–</w:t>
      </w:r>
      <w:r w:rsidRPr="00AA3EA9">
        <w:rPr>
          <w:rFonts w:ascii="Arial" w:hAnsi="Arial" w:hint="cs"/>
          <w:noProof w:val="0"/>
          <w:sz w:val="22"/>
          <w:szCs w:val="22"/>
          <w:rtl/>
        </w:rPr>
        <w:t xml:space="preserve"> שהם הרוב המכריע של הא</w:t>
      </w:r>
      <w:r w:rsidR="00A770E8" w:rsidRPr="00AA3EA9">
        <w:rPr>
          <w:rFonts w:ascii="Arial" w:hAnsi="Arial" w:hint="cs"/>
          <w:noProof w:val="0"/>
          <w:sz w:val="22"/>
          <w:szCs w:val="22"/>
          <w:rtl/>
        </w:rPr>
        <w:t>ו</w:t>
      </w:r>
      <w:r w:rsidRPr="00AA3EA9">
        <w:rPr>
          <w:rFonts w:ascii="Arial" w:hAnsi="Arial" w:hint="cs"/>
          <w:noProof w:val="0"/>
          <w:sz w:val="22"/>
          <w:szCs w:val="22"/>
          <w:rtl/>
        </w:rPr>
        <w:t xml:space="preserve">כלוסיה. </w:t>
      </w:r>
    </w:p>
    <w:p w:rsidR="009E22CF" w:rsidRPr="00244723" w:rsidRDefault="009E22CF">
      <w:pPr>
        <w:pStyle w:val="ae"/>
        <w:rPr>
          <w:rtl/>
        </w:rPr>
      </w:pPr>
    </w:p>
  </w:footnote>
  <w:footnote w:id="4">
    <w:p w:rsidR="003F1F93" w:rsidRPr="003A7417" w:rsidRDefault="003F1F93" w:rsidP="00C50984">
      <w:pPr>
        <w:pStyle w:val="ae"/>
        <w:rPr>
          <w:sz w:val="22"/>
          <w:szCs w:val="22"/>
        </w:rPr>
      </w:pPr>
      <w:r>
        <w:rPr>
          <w:rStyle w:val="af0"/>
        </w:rPr>
        <w:footnoteRef/>
      </w:r>
      <w:r>
        <w:rPr>
          <w:rtl/>
        </w:rPr>
        <w:t xml:space="preserve"> </w:t>
      </w:r>
      <w:r w:rsidRPr="003A7417">
        <w:rPr>
          <w:rFonts w:hint="cs"/>
          <w:sz w:val="22"/>
          <w:szCs w:val="22"/>
          <w:rtl/>
        </w:rPr>
        <w:t xml:space="preserve">בעת </w:t>
      </w:r>
      <w:r w:rsidR="00C50984" w:rsidRPr="003A7417">
        <w:rPr>
          <w:rFonts w:hint="cs"/>
          <w:sz w:val="22"/>
          <w:szCs w:val="22"/>
          <w:rtl/>
        </w:rPr>
        <w:t>מתן</w:t>
      </w:r>
      <w:r w:rsidRPr="003A7417">
        <w:rPr>
          <w:rFonts w:hint="cs"/>
          <w:sz w:val="22"/>
          <w:szCs w:val="22"/>
          <w:rtl/>
        </w:rPr>
        <w:t xml:space="preserve"> הודעת שר האוצר בשנת 1992, התקופה הנקובה בתקנה 12(ב) הייתה חמש שנים בלבד.</w:t>
      </w:r>
    </w:p>
  </w:footnote>
  <w:footnote w:id="5">
    <w:p w:rsidR="001C4E93" w:rsidRPr="002146D0" w:rsidRDefault="001C4E93" w:rsidP="001C4E93">
      <w:pPr>
        <w:pStyle w:val="ae"/>
        <w:jc w:val="both"/>
        <w:rPr>
          <w:sz w:val="22"/>
          <w:szCs w:val="22"/>
        </w:rPr>
      </w:pPr>
      <w:r>
        <w:rPr>
          <w:rStyle w:val="af0"/>
        </w:rPr>
        <w:footnoteRef/>
      </w:r>
      <w:r>
        <w:rPr>
          <w:rtl/>
        </w:rPr>
        <w:t xml:space="preserve"> </w:t>
      </w:r>
      <w:r w:rsidRPr="002146D0">
        <w:rPr>
          <w:rFonts w:ascii="Arial" w:hAnsi="Arial" w:hint="cs"/>
          <w:noProof w:val="0"/>
          <w:sz w:val="22"/>
          <w:szCs w:val="22"/>
          <w:rtl/>
        </w:rPr>
        <w:t xml:space="preserve">אף אם ניתן היה לתת למונח "עולה" משמעות רחבה יותר </w:t>
      </w:r>
      <w:r w:rsidRPr="002146D0">
        <w:rPr>
          <w:rFonts w:ascii="Arial" w:hAnsi="Arial"/>
          <w:noProof w:val="0"/>
          <w:sz w:val="22"/>
          <w:szCs w:val="22"/>
          <w:rtl/>
        </w:rPr>
        <w:t>–</w:t>
      </w:r>
      <w:r w:rsidRPr="002146D0">
        <w:rPr>
          <w:rFonts w:ascii="Arial" w:hAnsi="Arial" w:hint="cs"/>
          <w:noProof w:val="0"/>
          <w:sz w:val="22"/>
          <w:szCs w:val="22"/>
          <w:rtl/>
        </w:rPr>
        <w:t xml:space="preserve"> זו שמיוחסת למילה על פי לשון הבריות </w:t>
      </w:r>
      <w:r w:rsidRPr="002146D0">
        <w:rPr>
          <w:rFonts w:ascii="Arial" w:hAnsi="Arial"/>
          <w:noProof w:val="0"/>
          <w:sz w:val="22"/>
          <w:szCs w:val="22"/>
          <w:rtl/>
        </w:rPr>
        <w:t>–</w:t>
      </w:r>
      <w:r w:rsidRPr="002146D0">
        <w:rPr>
          <w:rFonts w:ascii="Arial" w:hAnsi="Arial" w:hint="cs"/>
          <w:noProof w:val="0"/>
          <w:sz w:val="22"/>
          <w:szCs w:val="22"/>
          <w:rtl/>
        </w:rPr>
        <w:t xml:space="preserve"> דומה כי ברגיל דוברי השפה העברית לא היו כוללים בגדרה של המילה "עולה" (או "עולה חדש") יליד ואזרח מדינת ישראל ששב ארצה לאחר שהייה בחו"ל</w:t>
      </w:r>
      <w:r w:rsidRPr="002146D0">
        <w:rPr>
          <w:rFonts w:hint="cs"/>
          <w:sz w:val="22"/>
          <w:szCs w:val="22"/>
          <w:rtl/>
        </w:rPr>
        <w:t>.</w:t>
      </w:r>
    </w:p>
  </w:footnote>
  <w:footnote w:id="6">
    <w:p w:rsidR="007B3E12" w:rsidRPr="002146D0" w:rsidRDefault="007B3E12" w:rsidP="00E41A61">
      <w:pPr>
        <w:pStyle w:val="ae"/>
        <w:jc w:val="both"/>
        <w:rPr>
          <w:sz w:val="22"/>
          <w:szCs w:val="22"/>
        </w:rPr>
      </w:pPr>
      <w:r>
        <w:rPr>
          <w:rStyle w:val="af0"/>
        </w:rPr>
        <w:footnoteRef/>
      </w:r>
      <w:r>
        <w:rPr>
          <w:rtl/>
        </w:rPr>
        <w:t xml:space="preserve"> </w:t>
      </w:r>
      <w:r w:rsidR="00E41A61" w:rsidRPr="002146D0">
        <w:rPr>
          <w:rFonts w:hint="cs"/>
          <w:sz w:val="22"/>
          <w:szCs w:val="22"/>
          <w:rtl/>
        </w:rPr>
        <w:t xml:space="preserve">מקור הסמכות להתקין את סעיף 2(3) לכללים איננו ברור: </w:t>
      </w:r>
      <w:r w:rsidRPr="002146D0">
        <w:rPr>
          <w:rFonts w:hint="cs"/>
          <w:sz w:val="22"/>
          <w:szCs w:val="22"/>
          <w:rtl/>
        </w:rPr>
        <w:t>הרי סעיף 35(ה)(ו)</w:t>
      </w:r>
      <w:r w:rsidR="00E41A61" w:rsidRPr="002146D0">
        <w:rPr>
          <w:rFonts w:hint="cs"/>
          <w:sz w:val="22"/>
          <w:szCs w:val="22"/>
          <w:rtl/>
        </w:rPr>
        <w:t xml:space="preserve"> לפקודה</w:t>
      </w:r>
      <w:r w:rsidR="00F109D6" w:rsidRPr="002146D0">
        <w:rPr>
          <w:rFonts w:hint="cs"/>
          <w:sz w:val="22"/>
          <w:szCs w:val="22"/>
          <w:rtl/>
        </w:rPr>
        <w:t xml:space="preserve"> מסמיך את שר האוצ</w:t>
      </w:r>
      <w:r w:rsidRPr="002146D0">
        <w:rPr>
          <w:rFonts w:hint="cs"/>
          <w:sz w:val="22"/>
          <w:szCs w:val="22"/>
          <w:rtl/>
        </w:rPr>
        <w:t xml:space="preserve">ר לקבוע כללים </w:t>
      </w:r>
      <w:r w:rsidRPr="002146D0">
        <w:rPr>
          <w:rFonts w:hint="cs"/>
          <w:b/>
          <w:bCs/>
          <w:sz w:val="22"/>
          <w:szCs w:val="22"/>
          <w:rtl/>
        </w:rPr>
        <w:t xml:space="preserve">"למתן הזיכויים... </w:t>
      </w:r>
      <w:r w:rsidR="00F109D6" w:rsidRPr="002146D0">
        <w:rPr>
          <w:rFonts w:hint="cs"/>
          <w:b/>
          <w:bCs/>
          <w:sz w:val="22"/>
          <w:szCs w:val="22"/>
          <w:rtl/>
        </w:rPr>
        <w:t>...</w:t>
      </w:r>
      <w:r w:rsidRPr="002146D0">
        <w:rPr>
          <w:rFonts w:hint="cs"/>
          <w:b/>
          <w:bCs/>
          <w:sz w:val="22"/>
          <w:szCs w:val="22"/>
          <w:rtl/>
        </w:rPr>
        <w:t>למי שהיה בעבר בגדר 'עולה חדש'"</w:t>
      </w:r>
      <w:r w:rsidRPr="002146D0">
        <w:rPr>
          <w:rFonts w:hint="cs"/>
          <w:sz w:val="22"/>
          <w:szCs w:val="22"/>
          <w:rtl/>
        </w:rPr>
        <w:t xml:space="preserve">. </w:t>
      </w:r>
      <w:r w:rsidR="00E41A61" w:rsidRPr="002146D0">
        <w:rPr>
          <w:rFonts w:hint="cs"/>
          <w:sz w:val="22"/>
          <w:szCs w:val="22"/>
          <w:rtl/>
        </w:rPr>
        <w:t>דומה כי אדם שהוא יליד ואזרח המדינה וע</w:t>
      </w:r>
      <w:r w:rsidRPr="002146D0">
        <w:rPr>
          <w:rFonts w:hint="cs"/>
          <w:sz w:val="22"/>
          <w:szCs w:val="22"/>
          <w:rtl/>
        </w:rPr>
        <w:t>זב כקטין איננו יכול להיחשב בהמשך כ"עולה"</w:t>
      </w:r>
      <w:r w:rsidR="00E41A61" w:rsidRPr="002146D0">
        <w:rPr>
          <w:rFonts w:hint="cs"/>
          <w:sz w:val="22"/>
          <w:szCs w:val="22"/>
          <w:rtl/>
        </w:rPr>
        <w:t xml:space="preserve"> כמשמעותו בסעיף 35,</w:t>
      </w:r>
      <w:r w:rsidRPr="002146D0">
        <w:rPr>
          <w:rFonts w:hint="cs"/>
          <w:sz w:val="22"/>
          <w:szCs w:val="22"/>
          <w:rtl/>
        </w:rPr>
        <w:t xml:space="preserve"> אף אם שהה מחוץ למדינה חמש שנים או יותר.</w:t>
      </w:r>
    </w:p>
  </w:footnote>
  <w:footnote w:id="7">
    <w:p w:rsidR="00BE15BA" w:rsidRDefault="00BE15BA">
      <w:pPr>
        <w:pStyle w:val="ae"/>
      </w:pPr>
      <w:r>
        <w:rPr>
          <w:rStyle w:val="af0"/>
        </w:rPr>
        <w:footnoteRef/>
      </w:r>
      <w:r>
        <w:rPr>
          <w:rtl/>
        </w:rPr>
        <w:t xml:space="preserve"> </w:t>
      </w:r>
      <w:r w:rsidRPr="002146D0">
        <w:rPr>
          <w:rFonts w:hint="cs"/>
          <w:sz w:val="22"/>
          <w:szCs w:val="22"/>
          <w:rtl/>
        </w:rPr>
        <w:t xml:space="preserve">ראו </w:t>
      </w:r>
      <w:r w:rsidRPr="002146D0">
        <w:rPr>
          <w:sz w:val="22"/>
          <w:szCs w:val="22"/>
        </w:rPr>
        <w:t>www.gov.il/he/pages/2010_des1687</w:t>
      </w:r>
    </w:p>
  </w:footnote>
  <w:footnote w:id="8">
    <w:p w:rsidR="00793144" w:rsidRPr="002146D0" w:rsidRDefault="00793144">
      <w:pPr>
        <w:pStyle w:val="ae"/>
        <w:rPr>
          <w:sz w:val="22"/>
          <w:szCs w:val="22"/>
          <w:rtl/>
        </w:rPr>
      </w:pPr>
      <w:r>
        <w:rPr>
          <w:rStyle w:val="af0"/>
        </w:rPr>
        <w:footnoteRef/>
      </w:r>
      <w:r>
        <w:rPr>
          <w:rtl/>
        </w:rPr>
        <w:t xml:space="preserve"> </w:t>
      </w:r>
      <w:r w:rsidRPr="002146D0">
        <w:rPr>
          <w:rFonts w:hint="cs"/>
          <w:sz w:val="22"/>
          <w:szCs w:val="22"/>
          <w:rtl/>
        </w:rPr>
        <w:t>ניסוח מגושם ז</w:t>
      </w:r>
      <w:r w:rsidR="00DF249D" w:rsidRPr="002146D0">
        <w:rPr>
          <w:rFonts w:hint="cs"/>
          <w:sz w:val="22"/>
          <w:szCs w:val="22"/>
          <w:rtl/>
        </w:rPr>
        <w:t>ה שופר בתיקון שנעשה בתקנה בחודש או</w:t>
      </w:r>
      <w:r w:rsidR="00EB241C" w:rsidRPr="002146D0">
        <w:rPr>
          <w:rFonts w:hint="cs"/>
          <w:sz w:val="22"/>
          <w:szCs w:val="22"/>
          <w:rtl/>
        </w:rPr>
        <w:t xml:space="preserve">גוסט 2024 (ראו הערת שוליים 1 </w:t>
      </w:r>
      <w:r w:rsidR="00DF249D" w:rsidRPr="002146D0">
        <w:rPr>
          <w:rFonts w:hint="cs"/>
          <w:sz w:val="22"/>
          <w:szCs w:val="22"/>
          <w:rtl/>
        </w:rPr>
        <w:t xml:space="preserve">לעיל) וכיום נאמר </w:t>
      </w:r>
      <w:r w:rsidR="00DF249D" w:rsidRPr="002146D0">
        <w:rPr>
          <w:rFonts w:hint="cs"/>
          <w:b/>
          <w:bCs/>
          <w:sz w:val="22"/>
          <w:szCs w:val="22"/>
          <w:rtl/>
        </w:rPr>
        <w:t>"לפני שנכנס לישראל לראשונה"</w:t>
      </w:r>
      <w:r w:rsidR="00DF249D" w:rsidRPr="002146D0">
        <w:rPr>
          <w:rFonts w:hint="cs"/>
          <w:sz w:val="22"/>
          <w:szCs w:val="22"/>
          <w:rtl/>
        </w:rPr>
        <w:t xml:space="preserve">. </w:t>
      </w:r>
    </w:p>
  </w:footnote>
  <w:footnote w:id="9">
    <w:p w:rsidR="009E6D76" w:rsidRPr="002146D0" w:rsidRDefault="009E6D76">
      <w:pPr>
        <w:pStyle w:val="ae"/>
        <w:rPr>
          <w:sz w:val="22"/>
          <w:szCs w:val="22"/>
        </w:rPr>
      </w:pPr>
      <w:r>
        <w:rPr>
          <w:rStyle w:val="af0"/>
        </w:rPr>
        <w:footnoteRef/>
      </w:r>
      <w:r>
        <w:rPr>
          <w:rtl/>
        </w:rPr>
        <w:t xml:space="preserve"> </w:t>
      </w:r>
      <w:r w:rsidRPr="002146D0">
        <w:rPr>
          <w:rFonts w:hint="cs"/>
          <w:sz w:val="22"/>
          <w:szCs w:val="22"/>
          <w:rtl/>
        </w:rPr>
        <w:t>ללא קשר לערר דנן יש להעיר כי תקנה 12(א)(2) היא חיקוק משונה: זאת תקנה שהותקנה על ידי שר האוצר, באישור ועדת הכספים של הכנסת, ועל פי</w:t>
      </w:r>
      <w:r w:rsidR="00F21F8C" w:rsidRPr="002146D0">
        <w:rPr>
          <w:rFonts w:hint="cs"/>
          <w:sz w:val="22"/>
          <w:szCs w:val="22"/>
          <w:rtl/>
        </w:rPr>
        <w:t>ה ה</w:t>
      </w:r>
      <w:r w:rsidRPr="002146D0">
        <w:rPr>
          <w:rFonts w:hint="cs"/>
          <w:sz w:val="22"/>
          <w:szCs w:val="22"/>
          <w:rtl/>
        </w:rPr>
        <w:t xml:space="preserve">שר </w:t>
      </w:r>
      <w:r w:rsidRPr="002146D0">
        <w:rPr>
          <w:rFonts w:hint="cs"/>
          <w:b/>
          <w:bCs/>
          <w:sz w:val="22"/>
          <w:szCs w:val="22"/>
          <w:rtl/>
        </w:rPr>
        <w:t>מסמיך את עצמו</w:t>
      </w:r>
      <w:r w:rsidR="00546919" w:rsidRPr="002146D0">
        <w:rPr>
          <w:rFonts w:hint="cs"/>
          <w:b/>
          <w:bCs/>
          <w:sz w:val="22"/>
          <w:szCs w:val="22"/>
          <w:rtl/>
        </w:rPr>
        <w:t xml:space="preserve"> </w:t>
      </w:r>
      <w:r w:rsidR="00546919" w:rsidRPr="002146D0">
        <w:rPr>
          <w:rFonts w:hint="cs"/>
          <w:sz w:val="22"/>
          <w:szCs w:val="22"/>
          <w:rtl/>
        </w:rPr>
        <w:t>לקבוע סוגי בני אדם וכו' (ללא אישור ועדת הכספים של הכנסת</w:t>
      </w:r>
      <w:r w:rsidR="00F21F8C" w:rsidRPr="002146D0">
        <w:rPr>
          <w:rFonts w:hint="cs"/>
          <w:sz w:val="22"/>
          <w:szCs w:val="22"/>
          <w:rtl/>
        </w:rPr>
        <w:t>).</w:t>
      </w:r>
      <w:r w:rsidR="00546919" w:rsidRPr="002146D0">
        <w:rPr>
          <w:rFonts w:hint="cs"/>
          <w:sz w:val="22"/>
          <w:szCs w:val="22"/>
          <w:rt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237" w:rsidRDefault="0087623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C46A7">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779"/>
      <w:gridCol w:w="3528"/>
    </w:tblGrid>
    <w:tr w:rsidR="00694556">
      <w:trPr>
        <w:trHeight w:hRule="exact" w:val="418"/>
        <w:jc w:val="center"/>
      </w:trPr>
      <w:tc>
        <w:tcPr>
          <w:tcW w:w="8721" w:type="dxa"/>
          <w:gridSpan w:val="2"/>
        </w:tcPr>
        <w:p w:rsidR="00694556" w:rsidRPr="00780CA3" w:rsidRDefault="004D431E">
          <w:pPr>
            <w:pStyle w:val="a3"/>
            <w:jc w:val="center"/>
            <w:rPr>
              <w:rFonts w:ascii="Tahoma" w:hAnsi="Tahoma"/>
              <w:noProof w:val="0"/>
              <w:color w:val="000080"/>
              <w:sz w:val="32"/>
              <w:szCs w:val="32"/>
              <w:rtl/>
            </w:rPr>
          </w:pPr>
          <w:r w:rsidRPr="00780CA3">
            <w:rPr>
              <w:rFonts w:ascii="Tahoma" w:hAnsi="Tahoma" w:hint="cs"/>
              <w:b/>
              <w:bCs/>
              <w:noProof w:val="0"/>
              <w:color w:val="000080"/>
              <w:sz w:val="32"/>
              <w:szCs w:val="32"/>
              <w:rtl/>
            </w:rPr>
            <w:t>בית המשפט המחוזי בתל אביב - יפו</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2143697027"/>
          <w:text/>
        </w:sdtPr>
        <w:sdtEndPr/>
        <w:sdtContent>
          <w:tc>
            <w:tcPr>
              <w:tcW w:w="3674" w:type="dxa"/>
            </w:tcPr>
            <w:p w:rsidR="00694556" w:rsidRDefault="002536B6" w:rsidP="002536B6">
              <w:pPr>
                <w:pStyle w:val="a3"/>
                <w:jc w:val="right"/>
                <w:rPr>
                  <w:b/>
                  <w:bCs/>
                  <w:noProof w:val="0"/>
                  <w:sz w:val="26"/>
                  <w:szCs w:val="26"/>
                  <w:rtl/>
                </w:rPr>
              </w:pPr>
              <w:r>
                <w:rPr>
                  <w:rFonts w:hint="cs"/>
                  <w:b/>
                  <w:bCs/>
                  <w:noProof w:val="0"/>
                  <w:sz w:val="26"/>
                  <w:szCs w:val="26"/>
                  <w:rtl/>
                </w:rPr>
                <w:t>30 אוקטובר 2024</w:t>
              </w:r>
            </w:p>
          </w:tc>
        </w:sdtContent>
      </w:sdt>
    </w:tr>
    <w:tr w:rsidR="00694556">
      <w:trPr>
        <w:trHeight w:val="337"/>
        <w:jc w:val="center"/>
      </w:trPr>
      <w:tc>
        <w:tcPr>
          <w:tcW w:w="8721" w:type="dxa"/>
          <w:gridSpan w:val="2"/>
        </w:tcPr>
        <w:p w:rsidR="00694556" w:rsidRDefault="00113969">
          <w:pPr>
            <w:rPr>
              <w:b/>
              <w:bCs/>
              <w:noProof w:val="0"/>
              <w:sz w:val="26"/>
              <w:szCs w:val="26"/>
              <w:rtl/>
            </w:rPr>
          </w:pPr>
          <w:sdt>
            <w:sdtPr>
              <w:rPr>
                <w:rtl/>
              </w:rPr>
              <w:alias w:val="1170"/>
              <w:tag w:val="1170"/>
              <w:id w:val="1066376912"/>
              <w:text w:multiLine="1"/>
            </w:sdtPr>
            <w:sdtEndPr/>
            <w:sdtContent>
              <w:r w:rsidR="00D3013B">
                <w:rPr>
                  <w:b/>
                  <w:bCs/>
                  <w:noProof w:val="0"/>
                  <w:sz w:val="26"/>
                  <w:szCs w:val="26"/>
                  <w:rtl/>
                </w:rPr>
                <w:t>ו"ע</w:t>
              </w:r>
            </w:sdtContent>
          </w:sdt>
          <w:r w:rsidR="00005C8B">
            <w:rPr>
              <w:b/>
              <w:bCs/>
              <w:noProof w:val="0"/>
              <w:sz w:val="26"/>
              <w:szCs w:val="26"/>
              <w:rtl/>
            </w:rPr>
            <w:t xml:space="preserve"> </w:t>
          </w:r>
          <w:sdt>
            <w:sdtPr>
              <w:rPr>
                <w:rtl/>
              </w:rPr>
              <w:alias w:val="1171"/>
              <w:tag w:val="1171"/>
              <w:id w:val="-35435495"/>
              <w:text w:multiLine="1"/>
            </w:sdtPr>
            <w:sdtEndPr/>
            <w:sdtContent>
              <w:r w:rsidR="00D3013B">
                <w:rPr>
                  <w:b/>
                  <w:bCs/>
                  <w:noProof w:val="0"/>
                  <w:sz w:val="26"/>
                  <w:szCs w:val="26"/>
                  <w:rtl/>
                </w:rPr>
                <w:t>59273-01-22</w:t>
              </w:r>
            </w:sdtContent>
          </w:sdt>
          <w:r w:rsidR="00005C8B">
            <w:rPr>
              <w:b/>
              <w:bCs/>
              <w:noProof w:val="0"/>
              <w:sz w:val="26"/>
              <w:szCs w:val="26"/>
              <w:rtl/>
            </w:rPr>
            <w:t xml:space="preserve"> </w:t>
          </w:r>
          <w:sdt>
            <w:sdtPr>
              <w:rPr>
                <w:rtl/>
              </w:rPr>
              <w:alias w:val="1172"/>
              <w:tag w:val="1172"/>
              <w:id w:val="-1465882637"/>
              <w:text w:multiLine="1"/>
            </w:sdtPr>
            <w:sdtEndPr/>
            <w:sdtContent>
              <w:r w:rsidR="00D3013B">
                <w:rPr>
                  <w:b/>
                  <w:bCs/>
                  <w:noProof w:val="0"/>
                  <w:sz w:val="26"/>
                  <w:szCs w:val="26"/>
                  <w:rtl/>
                </w:rPr>
                <w:t>צוובנר ואח' נ' מנהל מיסוי מקרקעין תל אביב</w:t>
              </w:r>
            </w:sdtContent>
          </w:sdt>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237" w:rsidRDefault="0087623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A4F00"/>
    <w:multiLevelType w:val="hybridMultilevel"/>
    <w:tmpl w:val="F40CFCD0"/>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D57448"/>
    <w:multiLevelType w:val="hybridMultilevel"/>
    <w:tmpl w:val="CA8E5DA4"/>
    <w:lvl w:ilvl="0" w:tplc="CA56ED96">
      <w:start w:val="1"/>
      <w:numFmt w:val="decimal"/>
      <w:lvlText w:val="(%1)"/>
      <w:lvlJc w:val="left"/>
      <w:pPr>
        <w:ind w:left="1494" w:hanging="360"/>
      </w:pPr>
      <w:rPr>
        <w:rFonts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2430EF1"/>
    <w:multiLevelType w:val="hybridMultilevel"/>
    <w:tmpl w:val="52B67458"/>
    <w:lvl w:ilvl="0" w:tplc="D77A1BD6">
      <w:start w:val="1"/>
      <w:numFmt w:val="bullet"/>
      <w:lvlText w:val="-"/>
      <w:lvlJc w:val="left"/>
      <w:pPr>
        <w:ind w:left="1307" w:hanging="360"/>
      </w:pPr>
      <w:rPr>
        <w:rFonts w:ascii="David" w:eastAsia="Times New Roman" w:hAnsi="David" w:cs="David" w:hint="default"/>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3" w15:restartNumberingAfterBreak="0">
    <w:nsid w:val="25E16070"/>
    <w:multiLevelType w:val="hybridMultilevel"/>
    <w:tmpl w:val="F6B05C68"/>
    <w:lvl w:ilvl="0" w:tplc="5F48A50A">
      <w:start w:val="1"/>
      <w:numFmt w:val="hebrew1"/>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A7D38E9"/>
    <w:multiLevelType w:val="hybridMultilevel"/>
    <w:tmpl w:val="9384D020"/>
    <w:lvl w:ilvl="0" w:tplc="1466E26A">
      <w:start w:val="1"/>
      <w:numFmt w:val="hebrew1"/>
      <w:lvlText w:val="(%1)"/>
      <w:lvlJc w:val="left"/>
      <w:pPr>
        <w:ind w:left="947" w:hanging="360"/>
      </w:pPr>
      <w:rPr>
        <w:rFonts w:hint="default"/>
        <w:b w:val="0"/>
        <w:bCs w:val="0"/>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5" w15:restartNumberingAfterBreak="0">
    <w:nsid w:val="351A724F"/>
    <w:multiLevelType w:val="hybridMultilevel"/>
    <w:tmpl w:val="F70A06F0"/>
    <w:lvl w:ilvl="0" w:tplc="E564DA08">
      <w:numFmt w:val="bullet"/>
      <w:lvlText w:val=""/>
      <w:lvlJc w:val="left"/>
      <w:pPr>
        <w:ind w:left="3962" w:hanging="360"/>
      </w:pPr>
      <w:rPr>
        <w:rFonts w:ascii="Symbol" w:eastAsia="Times New Roman" w:hAnsi="Symbol" w:cs="David" w:hint="default"/>
      </w:rPr>
    </w:lvl>
    <w:lvl w:ilvl="1" w:tplc="04090003" w:tentative="1">
      <w:start w:val="1"/>
      <w:numFmt w:val="bullet"/>
      <w:lvlText w:val="o"/>
      <w:lvlJc w:val="left"/>
      <w:pPr>
        <w:ind w:left="4682" w:hanging="360"/>
      </w:pPr>
      <w:rPr>
        <w:rFonts w:ascii="Courier New" w:hAnsi="Courier New" w:cs="Courier New" w:hint="default"/>
      </w:rPr>
    </w:lvl>
    <w:lvl w:ilvl="2" w:tplc="04090005" w:tentative="1">
      <w:start w:val="1"/>
      <w:numFmt w:val="bullet"/>
      <w:lvlText w:val=""/>
      <w:lvlJc w:val="left"/>
      <w:pPr>
        <w:ind w:left="5402" w:hanging="360"/>
      </w:pPr>
      <w:rPr>
        <w:rFonts w:ascii="Wingdings" w:hAnsi="Wingdings" w:hint="default"/>
      </w:rPr>
    </w:lvl>
    <w:lvl w:ilvl="3" w:tplc="04090001" w:tentative="1">
      <w:start w:val="1"/>
      <w:numFmt w:val="bullet"/>
      <w:lvlText w:val=""/>
      <w:lvlJc w:val="left"/>
      <w:pPr>
        <w:ind w:left="6122" w:hanging="360"/>
      </w:pPr>
      <w:rPr>
        <w:rFonts w:ascii="Symbol" w:hAnsi="Symbol" w:hint="default"/>
      </w:rPr>
    </w:lvl>
    <w:lvl w:ilvl="4" w:tplc="04090003" w:tentative="1">
      <w:start w:val="1"/>
      <w:numFmt w:val="bullet"/>
      <w:lvlText w:val="o"/>
      <w:lvlJc w:val="left"/>
      <w:pPr>
        <w:ind w:left="6842" w:hanging="360"/>
      </w:pPr>
      <w:rPr>
        <w:rFonts w:ascii="Courier New" w:hAnsi="Courier New" w:cs="Courier New" w:hint="default"/>
      </w:rPr>
    </w:lvl>
    <w:lvl w:ilvl="5" w:tplc="04090005" w:tentative="1">
      <w:start w:val="1"/>
      <w:numFmt w:val="bullet"/>
      <w:lvlText w:val=""/>
      <w:lvlJc w:val="left"/>
      <w:pPr>
        <w:ind w:left="7562" w:hanging="360"/>
      </w:pPr>
      <w:rPr>
        <w:rFonts w:ascii="Wingdings" w:hAnsi="Wingdings" w:hint="default"/>
      </w:rPr>
    </w:lvl>
    <w:lvl w:ilvl="6" w:tplc="04090001" w:tentative="1">
      <w:start w:val="1"/>
      <w:numFmt w:val="bullet"/>
      <w:lvlText w:val=""/>
      <w:lvlJc w:val="left"/>
      <w:pPr>
        <w:ind w:left="8282" w:hanging="360"/>
      </w:pPr>
      <w:rPr>
        <w:rFonts w:ascii="Symbol" w:hAnsi="Symbol" w:hint="default"/>
      </w:rPr>
    </w:lvl>
    <w:lvl w:ilvl="7" w:tplc="04090003" w:tentative="1">
      <w:start w:val="1"/>
      <w:numFmt w:val="bullet"/>
      <w:lvlText w:val="o"/>
      <w:lvlJc w:val="left"/>
      <w:pPr>
        <w:ind w:left="9002" w:hanging="360"/>
      </w:pPr>
      <w:rPr>
        <w:rFonts w:ascii="Courier New" w:hAnsi="Courier New" w:cs="Courier New" w:hint="default"/>
      </w:rPr>
    </w:lvl>
    <w:lvl w:ilvl="8" w:tplc="04090005" w:tentative="1">
      <w:start w:val="1"/>
      <w:numFmt w:val="bullet"/>
      <w:lvlText w:val=""/>
      <w:lvlJc w:val="left"/>
      <w:pPr>
        <w:ind w:left="9722" w:hanging="360"/>
      </w:pPr>
      <w:rPr>
        <w:rFonts w:ascii="Wingdings" w:hAnsi="Wingdings" w:hint="default"/>
      </w:rPr>
    </w:lvl>
  </w:abstractNum>
  <w:abstractNum w:abstractNumId="6" w15:restartNumberingAfterBreak="0">
    <w:nsid w:val="379800ED"/>
    <w:multiLevelType w:val="hybridMultilevel"/>
    <w:tmpl w:val="6700F020"/>
    <w:lvl w:ilvl="0" w:tplc="F65CBE84">
      <w:numFmt w:val="bullet"/>
      <w:lvlText w:val=""/>
      <w:lvlJc w:val="left"/>
      <w:pPr>
        <w:ind w:left="4322" w:hanging="360"/>
      </w:pPr>
      <w:rPr>
        <w:rFonts w:ascii="Symbol" w:eastAsia="Times New Roman" w:hAnsi="Symbol" w:cs="David" w:hint="default"/>
      </w:rPr>
    </w:lvl>
    <w:lvl w:ilvl="1" w:tplc="04090003" w:tentative="1">
      <w:start w:val="1"/>
      <w:numFmt w:val="bullet"/>
      <w:lvlText w:val="o"/>
      <w:lvlJc w:val="left"/>
      <w:pPr>
        <w:ind w:left="5042" w:hanging="360"/>
      </w:pPr>
      <w:rPr>
        <w:rFonts w:ascii="Courier New" w:hAnsi="Courier New" w:cs="Courier New" w:hint="default"/>
      </w:rPr>
    </w:lvl>
    <w:lvl w:ilvl="2" w:tplc="04090005" w:tentative="1">
      <w:start w:val="1"/>
      <w:numFmt w:val="bullet"/>
      <w:lvlText w:val=""/>
      <w:lvlJc w:val="left"/>
      <w:pPr>
        <w:ind w:left="5762" w:hanging="360"/>
      </w:pPr>
      <w:rPr>
        <w:rFonts w:ascii="Wingdings" w:hAnsi="Wingdings" w:hint="default"/>
      </w:rPr>
    </w:lvl>
    <w:lvl w:ilvl="3" w:tplc="04090001" w:tentative="1">
      <w:start w:val="1"/>
      <w:numFmt w:val="bullet"/>
      <w:lvlText w:val=""/>
      <w:lvlJc w:val="left"/>
      <w:pPr>
        <w:ind w:left="6482" w:hanging="360"/>
      </w:pPr>
      <w:rPr>
        <w:rFonts w:ascii="Symbol" w:hAnsi="Symbol" w:hint="default"/>
      </w:rPr>
    </w:lvl>
    <w:lvl w:ilvl="4" w:tplc="04090003" w:tentative="1">
      <w:start w:val="1"/>
      <w:numFmt w:val="bullet"/>
      <w:lvlText w:val="o"/>
      <w:lvlJc w:val="left"/>
      <w:pPr>
        <w:ind w:left="7202" w:hanging="360"/>
      </w:pPr>
      <w:rPr>
        <w:rFonts w:ascii="Courier New" w:hAnsi="Courier New" w:cs="Courier New" w:hint="default"/>
      </w:rPr>
    </w:lvl>
    <w:lvl w:ilvl="5" w:tplc="04090005" w:tentative="1">
      <w:start w:val="1"/>
      <w:numFmt w:val="bullet"/>
      <w:lvlText w:val=""/>
      <w:lvlJc w:val="left"/>
      <w:pPr>
        <w:ind w:left="7922" w:hanging="360"/>
      </w:pPr>
      <w:rPr>
        <w:rFonts w:ascii="Wingdings" w:hAnsi="Wingdings" w:hint="default"/>
      </w:rPr>
    </w:lvl>
    <w:lvl w:ilvl="6" w:tplc="04090001" w:tentative="1">
      <w:start w:val="1"/>
      <w:numFmt w:val="bullet"/>
      <w:lvlText w:val=""/>
      <w:lvlJc w:val="left"/>
      <w:pPr>
        <w:ind w:left="8642" w:hanging="360"/>
      </w:pPr>
      <w:rPr>
        <w:rFonts w:ascii="Symbol" w:hAnsi="Symbol" w:hint="default"/>
      </w:rPr>
    </w:lvl>
    <w:lvl w:ilvl="7" w:tplc="04090003" w:tentative="1">
      <w:start w:val="1"/>
      <w:numFmt w:val="bullet"/>
      <w:lvlText w:val="o"/>
      <w:lvlJc w:val="left"/>
      <w:pPr>
        <w:ind w:left="9362" w:hanging="360"/>
      </w:pPr>
      <w:rPr>
        <w:rFonts w:ascii="Courier New" w:hAnsi="Courier New" w:cs="Courier New" w:hint="default"/>
      </w:rPr>
    </w:lvl>
    <w:lvl w:ilvl="8" w:tplc="04090005" w:tentative="1">
      <w:start w:val="1"/>
      <w:numFmt w:val="bullet"/>
      <w:lvlText w:val=""/>
      <w:lvlJc w:val="left"/>
      <w:pPr>
        <w:ind w:left="10082" w:hanging="360"/>
      </w:pPr>
      <w:rPr>
        <w:rFonts w:ascii="Wingdings" w:hAnsi="Wingdings" w:hint="default"/>
      </w:rPr>
    </w:lvl>
  </w:abstractNum>
  <w:abstractNum w:abstractNumId="7" w15:restartNumberingAfterBreak="0">
    <w:nsid w:val="3CC104CE"/>
    <w:multiLevelType w:val="hybridMultilevel"/>
    <w:tmpl w:val="C76AA8C4"/>
    <w:lvl w:ilvl="0" w:tplc="03DAFF36">
      <w:start w:val="1"/>
      <w:numFmt w:val="decimal"/>
      <w:lvlText w:val="%1."/>
      <w:lvlJc w:val="left"/>
      <w:pPr>
        <w:ind w:left="1440" w:hanging="360"/>
      </w:pPr>
      <w:rPr>
        <w:b w:val="0"/>
        <w:bCs w:val="0"/>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E3A0399"/>
    <w:multiLevelType w:val="hybridMultilevel"/>
    <w:tmpl w:val="6158ECAE"/>
    <w:lvl w:ilvl="0" w:tplc="713CA902">
      <w:start w:val="1"/>
      <w:numFmt w:val="bullet"/>
      <w:lvlText w:val="-"/>
      <w:lvlJc w:val="left"/>
      <w:pPr>
        <w:ind w:left="1494" w:hanging="360"/>
      </w:pPr>
      <w:rPr>
        <w:rFonts w:ascii="David" w:eastAsia="Times New Roman" w:hAnsi="David" w:cs="David" w:hint="default"/>
        <w:lang w:bidi="he-IL"/>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408D2C6E"/>
    <w:multiLevelType w:val="hybridMultilevel"/>
    <w:tmpl w:val="CEDC558E"/>
    <w:lvl w:ilvl="0" w:tplc="F4645650">
      <w:start w:val="1"/>
      <w:numFmt w:val="bullet"/>
      <w:lvlText w:val="-"/>
      <w:lvlJc w:val="left"/>
      <w:pPr>
        <w:ind w:left="1494" w:hanging="360"/>
      </w:pPr>
      <w:rPr>
        <w:rFonts w:ascii="David" w:eastAsia="Times New Roman" w:hAnsi="David" w:cs="David"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51543A2B"/>
    <w:multiLevelType w:val="hybridMultilevel"/>
    <w:tmpl w:val="0B74C480"/>
    <w:lvl w:ilvl="0" w:tplc="81ECB388">
      <w:numFmt w:val="bullet"/>
      <w:lvlText w:val=""/>
      <w:lvlJc w:val="left"/>
      <w:pPr>
        <w:ind w:left="947" w:hanging="360"/>
      </w:pPr>
      <w:rPr>
        <w:rFonts w:ascii="Symbol" w:eastAsia="Times New Roman" w:hAnsi="Symbol" w:cs="David"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1" w15:restartNumberingAfterBreak="0">
    <w:nsid w:val="5DAA045A"/>
    <w:multiLevelType w:val="hybridMultilevel"/>
    <w:tmpl w:val="B42201DC"/>
    <w:lvl w:ilvl="0" w:tplc="5E4A926C">
      <w:numFmt w:val="bullet"/>
      <w:lvlText w:val=""/>
      <w:lvlJc w:val="left"/>
      <w:pPr>
        <w:ind w:left="3482" w:hanging="360"/>
      </w:pPr>
      <w:rPr>
        <w:rFonts w:ascii="Symbol" w:eastAsia="Times New Roman" w:hAnsi="Symbol" w:cs="David" w:hint="default"/>
      </w:rPr>
    </w:lvl>
    <w:lvl w:ilvl="1" w:tplc="04090003" w:tentative="1">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12" w15:restartNumberingAfterBreak="0">
    <w:nsid w:val="63A611F4"/>
    <w:multiLevelType w:val="hybridMultilevel"/>
    <w:tmpl w:val="C9B0FB3E"/>
    <w:lvl w:ilvl="0" w:tplc="DD70AD10">
      <w:start w:val="1"/>
      <w:numFmt w:val="hebrew1"/>
      <w:lvlText w:val="(%1)"/>
      <w:lvlJc w:val="left"/>
      <w:pPr>
        <w:ind w:left="1442" w:hanging="855"/>
      </w:pPr>
      <w:rPr>
        <w:rFonts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13" w15:restartNumberingAfterBreak="0">
    <w:nsid w:val="7B1243C1"/>
    <w:multiLevelType w:val="hybridMultilevel"/>
    <w:tmpl w:val="6AF809A4"/>
    <w:lvl w:ilvl="0" w:tplc="6A44280A">
      <w:numFmt w:val="bullet"/>
      <w:lvlText w:val=""/>
      <w:lvlJc w:val="left"/>
      <w:pPr>
        <w:ind w:left="3240" w:hanging="360"/>
      </w:pPr>
      <w:rPr>
        <w:rFonts w:ascii="Symbol" w:eastAsia="Times New Roman" w:hAnsi="Symbol" w:cs="David"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 w:numId="2">
    <w:abstractNumId w:val="7"/>
  </w:num>
  <w:num w:numId="3">
    <w:abstractNumId w:val="12"/>
  </w:num>
  <w:num w:numId="4">
    <w:abstractNumId w:val="4"/>
  </w:num>
  <w:num w:numId="5">
    <w:abstractNumId w:val="9"/>
  </w:num>
  <w:num w:numId="6">
    <w:abstractNumId w:val="8"/>
  </w:num>
  <w:num w:numId="7">
    <w:abstractNumId w:val="2"/>
  </w:num>
  <w:num w:numId="8">
    <w:abstractNumId w:val="1"/>
  </w:num>
  <w:num w:numId="9">
    <w:abstractNumId w:val="3"/>
  </w:num>
  <w:num w:numId="10">
    <w:abstractNumId w:val="5"/>
  </w:num>
  <w:num w:numId="11">
    <w:abstractNumId w:val="6"/>
  </w:num>
  <w:num w:numId="12">
    <w:abstractNumId w:val="10"/>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98480"/>
    <w:docVar w:name="CourtID" w:val="15"/>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8998480&amp;lt;/CaseID&amp;gt;_x000d__x000a_        &amp;lt;DocumentID&amp;gt;459061664&amp;lt;/DocumentID&amp;gt;_x000d__x000a_      &amp;lt;/dt_DocumentCase&amp;gt;_x000d__x000a_      &amp;lt;dt_Document diffgr:id=&amp;quot;dt_Document1&amp;quot; msdata:rowOrder=&amp;quot;0&amp;quot;&amp;gt;_x000d__x000a_        &amp;lt;DocumentID&amp;gt;459061664&amp;lt;/DocumentID&amp;gt;_x000d__x000a_        &amp;lt;DocumentMainID&amp;gt;0&amp;lt;/DocumentMainID&amp;gt;_x000d__x000a_        &amp;lt;CaseID&amp;gt;78998480&amp;lt;/CaseID&amp;gt;_x000d__x000a_        &amp;lt;DocumentIncludedDate&amp;gt;2024-10-31T07:47:17.55+02:00&amp;lt;/DocumentIncludedDate&amp;gt;_x000d__x000a_        &amp;lt;DocumentDesc&amp;gt;פסק דין  שניתנה ע&amp;quot;י  הרי קירש&amp;lt;/DocumentDesc&amp;gt;_x000d__x000a_        &amp;lt;DocumentDirectionID&amp;gt;2&amp;lt;/DocumentDirectionID&amp;gt;_x000d__x000a_        &amp;lt;SourceID&amp;gt;1&amp;lt;/SourceID&amp;gt;_x000d__x000a_        &amp;lt;VersionNumber&amp;gt;1&amp;lt;/VersionNumber&amp;gt;_x000d__x000a_        &amp;lt;DocumentVersionTypeID&amp;gt;1&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4-10-31T07:47:17.55+02:00&amp;lt;/DocumentSavingDate&amp;gt;_x000d__x000a_        &amp;lt;DocumentChangeDate&amp;gt;2024-10-31T07:47:17.703+02:00&amp;lt;/DocumentChangeDate&amp;gt;_x000d__x000a_        &amp;lt;IsScanned&amp;gt;false&amp;lt;/IsScanned&amp;gt;_x000d__x000a_        &amp;lt;PageQuantity&amp;gt;0&amp;lt;/PageQuantity&amp;gt;_x000d__x000a_        &amp;lt;DocumentStatusID&amp;gt;2&amp;lt;/DocumentStatusID&amp;gt;_x000d__x000a_        &amp;lt;DocumentStatusChangeDate&amp;gt;2024-10-31T07:47:17.703+02:00&amp;lt;/DocumentStatusChangeDate&amp;gt;_x000d__x000a_        &amp;lt;TemplateVersionID&amp;gt;1&amp;lt;/TemplateVersionID&amp;gt;_x000d__x000a_        &amp;lt;DocumentChangeUserID&amp;gt;015522196@GOV.IL&amp;lt;/DocumentChangeUserID&amp;gt;_x000d__x000a_        &amp;lt;DocumentCreationUserID&amp;gt;015522196@GOV.IL&amp;lt;/DocumentCreationUserID&amp;gt;_x000d__x000a_        &amp;lt;OriginalDocumentID&amp;gt;457757466&amp;lt;/OriginalDocumentID&amp;gt;_x000d__x000a_        &amp;lt;PrivillegeID&amp;gt;1&amp;lt;/PrivillegeID&amp;gt;_x000d__x000a_        &amp;lt;FromPage&amp;gt;0&amp;lt;/FromPage&amp;gt;_x000d__x000a_        &amp;lt;ToPage&amp;gt;0&amp;lt;/ToPage&amp;gt;_x000d__x000a_        &amp;lt;FileID&amp;gt;dd281de192010000090037f6aba206fe&amp;lt;/FileID&amp;gt;_x000d__x000a_        &amp;lt;URL&amp;gt;\\CTLNFSV02\doc_repository\378\914\2e952d892fa44d1d9528c8cd808ebf48_copy.docx&amp;lt;/URL&amp;gt;_x000d__x000a_        &amp;lt;OlivePriority&amp;gt;1&amp;lt;/OlivePriority&amp;gt;_x000d__x000a_        &amp;lt;MetaDataTypeID&amp;gt;1&amp;lt;/MetaDataTypeID&amp;gt;_x000d__x000a_        &amp;lt;MetaDataChangeDate&amp;gt;2024-10-31T07:47:17.703+02: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רי קירש&amp;amp;lt;/anyType&amp;amp;gt;_x000d__x000a_    &amp;amp;lt;anyType xsi:type=&amp;quot;xsd:dateTime&amp;quot;&amp;amp;gt;2024-10-30T09:12:12.1049989&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4-10-30T09:12:12.103+02:00&amp;lt;/PresentationDate&amp;gt;_x000d__x000a_      &amp;lt;/dt_Document&amp;gt;_x000d__x000a_    &amp;lt;/DocumentDS&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0982"/>
    <w:rsid w:val="00012F98"/>
    <w:rsid w:val="00043352"/>
    <w:rsid w:val="000564AB"/>
    <w:rsid w:val="0005783D"/>
    <w:rsid w:val="000A7948"/>
    <w:rsid w:val="000B0946"/>
    <w:rsid w:val="000C60F2"/>
    <w:rsid w:val="000F7486"/>
    <w:rsid w:val="00111E1D"/>
    <w:rsid w:val="00113969"/>
    <w:rsid w:val="00124C45"/>
    <w:rsid w:val="00135B49"/>
    <w:rsid w:val="00137CA9"/>
    <w:rsid w:val="001475A4"/>
    <w:rsid w:val="00170820"/>
    <w:rsid w:val="00172BC5"/>
    <w:rsid w:val="001A73CC"/>
    <w:rsid w:val="001C4003"/>
    <w:rsid w:val="001C4E93"/>
    <w:rsid w:val="001C5A8B"/>
    <w:rsid w:val="001D4482"/>
    <w:rsid w:val="001D659C"/>
    <w:rsid w:val="001F07FA"/>
    <w:rsid w:val="002146D0"/>
    <w:rsid w:val="00223E7C"/>
    <w:rsid w:val="00244723"/>
    <w:rsid w:val="00244D25"/>
    <w:rsid w:val="002536B6"/>
    <w:rsid w:val="00262C6A"/>
    <w:rsid w:val="00293E68"/>
    <w:rsid w:val="002957B7"/>
    <w:rsid w:val="00295EDC"/>
    <w:rsid w:val="002A5251"/>
    <w:rsid w:val="002B49A8"/>
    <w:rsid w:val="002C75B4"/>
    <w:rsid w:val="002C7951"/>
    <w:rsid w:val="002D2E6F"/>
    <w:rsid w:val="002F1414"/>
    <w:rsid w:val="002F7603"/>
    <w:rsid w:val="00304F99"/>
    <w:rsid w:val="0030624F"/>
    <w:rsid w:val="00330751"/>
    <w:rsid w:val="0033392C"/>
    <w:rsid w:val="00340003"/>
    <w:rsid w:val="00357010"/>
    <w:rsid w:val="003640CA"/>
    <w:rsid w:val="00387EFA"/>
    <w:rsid w:val="003A7417"/>
    <w:rsid w:val="003B3C95"/>
    <w:rsid w:val="003C4440"/>
    <w:rsid w:val="003C4456"/>
    <w:rsid w:val="003F1F93"/>
    <w:rsid w:val="0041517B"/>
    <w:rsid w:val="004355D9"/>
    <w:rsid w:val="00441F37"/>
    <w:rsid w:val="0044761E"/>
    <w:rsid w:val="004575BF"/>
    <w:rsid w:val="0046310A"/>
    <w:rsid w:val="004674EB"/>
    <w:rsid w:val="00470E9E"/>
    <w:rsid w:val="004740D9"/>
    <w:rsid w:val="004A2BBD"/>
    <w:rsid w:val="004A34E2"/>
    <w:rsid w:val="004A3EB0"/>
    <w:rsid w:val="004A51EA"/>
    <w:rsid w:val="004A681B"/>
    <w:rsid w:val="004A71FF"/>
    <w:rsid w:val="004C2BD2"/>
    <w:rsid w:val="004C46A7"/>
    <w:rsid w:val="004D431E"/>
    <w:rsid w:val="004D69F8"/>
    <w:rsid w:val="004E56D5"/>
    <w:rsid w:val="004E6E3C"/>
    <w:rsid w:val="00524F9E"/>
    <w:rsid w:val="00526FAB"/>
    <w:rsid w:val="00533E89"/>
    <w:rsid w:val="00544894"/>
    <w:rsid w:val="00546919"/>
    <w:rsid w:val="00547DB7"/>
    <w:rsid w:val="005758C1"/>
    <w:rsid w:val="005952F6"/>
    <w:rsid w:val="005A2FF1"/>
    <w:rsid w:val="005C17FD"/>
    <w:rsid w:val="005C5FD4"/>
    <w:rsid w:val="005C7455"/>
    <w:rsid w:val="005D43F3"/>
    <w:rsid w:val="0060361B"/>
    <w:rsid w:val="00610DF0"/>
    <w:rsid w:val="00622BAA"/>
    <w:rsid w:val="006332DC"/>
    <w:rsid w:val="00643834"/>
    <w:rsid w:val="00646CDB"/>
    <w:rsid w:val="006579A4"/>
    <w:rsid w:val="00671BD5"/>
    <w:rsid w:val="00674581"/>
    <w:rsid w:val="0069064D"/>
    <w:rsid w:val="00694556"/>
    <w:rsid w:val="006E1A53"/>
    <w:rsid w:val="006E4D64"/>
    <w:rsid w:val="007030A8"/>
    <w:rsid w:val="00705AC9"/>
    <w:rsid w:val="00705EB7"/>
    <w:rsid w:val="00731D33"/>
    <w:rsid w:val="00734F3C"/>
    <w:rsid w:val="007541EF"/>
    <w:rsid w:val="00762D68"/>
    <w:rsid w:val="007630D9"/>
    <w:rsid w:val="00776C70"/>
    <w:rsid w:val="00780CA3"/>
    <w:rsid w:val="00782FD5"/>
    <w:rsid w:val="00793144"/>
    <w:rsid w:val="00796C96"/>
    <w:rsid w:val="0079763A"/>
    <w:rsid w:val="007A143A"/>
    <w:rsid w:val="007A39C3"/>
    <w:rsid w:val="007B3E12"/>
    <w:rsid w:val="007B6D61"/>
    <w:rsid w:val="007F4970"/>
    <w:rsid w:val="007F5B54"/>
    <w:rsid w:val="007F5C37"/>
    <w:rsid w:val="00811D32"/>
    <w:rsid w:val="00820005"/>
    <w:rsid w:val="00823C7D"/>
    <w:rsid w:val="00824D99"/>
    <w:rsid w:val="00825C97"/>
    <w:rsid w:val="008469D9"/>
    <w:rsid w:val="00873DEB"/>
    <w:rsid w:val="00876237"/>
    <w:rsid w:val="00881D69"/>
    <w:rsid w:val="008863DC"/>
    <w:rsid w:val="008A0781"/>
    <w:rsid w:val="008A776A"/>
    <w:rsid w:val="008C71D0"/>
    <w:rsid w:val="008D6568"/>
    <w:rsid w:val="008E1013"/>
    <w:rsid w:val="00903896"/>
    <w:rsid w:val="00912B4D"/>
    <w:rsid w:val="00925117"/>
    <w:rsid w:val="009328DF"/>
    <w:rsid w:val="0094129B"/>
    <w:rsid w:val="009520C1"/>
    <w:rsid w:val="009623C0"/>
    <w:rsid w:val="009670AD"/>
    <w:rsid w:val="00973A56"/>
    <w:rsid w:val="00991AC9"/>
    <w:rsid w:val="00994F76"/>
    <w:rsid w:val="009B6E99"/>
    <w:rsid w:val="009D3630"/>
    <w:rsid w:val="009E22CF"/>
    <w:rsid w:val="009E6D76"/>
    <w:rsid w:val="009F1D3B"/>
    <w:rsid w:val="00A1212F"/>
    <w:rsid w:val="00A13F33"/>
    <w:rsid w:val="00A236CC"/>
    <w:rsid w:val="00A24813"/>
    <w:rsid w:val="00A36A67"/>
    <w:rsid w:val="00A479FD"/>
    <w:rsid w:val="00A74286"/>
    <w:rsid w:val="00A760AA"/>
    <w:rsid w:val="00A770E8"/>
    <w:rsid w:val="00A77BA5"/>
    <w:rsid w:val="00A80A5E"/>
    <w:rsid w:val="00A820AB"/>
    <w:rsid w:val="00A869D5"/>
    <w:rsid w:val="00A93465"/>
    <w:rsid w:val="00AA3EA9"/>
    <w:rsid w:val="00AC0270"/>
    <w:rsid w:val="00AE79B9"/>
    <w:rsid w:val="00B0080C"/>
    <w:rsid w:val="00B0266F"/>
    <w:rsid w:val="00B25BB9"/>
    <w:rsid w:val="00B31291"/>
    <w:rsid w:val="00B31DA0"/>
    <w:rsid w:val="00B33AB8"/>
    <w:rsid w:val="00B4559B"/>
    <w:rsid w:val="00B53994"/>
    <w:rsid w:val="00B57180"/>
    <w:rsid w:val="00B8035C"/>
    <w:rsid w:val="00B80CBD"/>
    <w:rsid w:val="00BA4FC3"/>
    <w:rsid w:val="00BB1563"/>
    <w:rsid w:val="00BB1AFF"/>
    <w:rsid w:val="00BC36F1"/>
    <w:rsid w:val="00BE0BE9"/>
    <w:rsid w:val="00BE15BA"/>
    <w:rsid w:val="00BF6895"/>
    <w:rsid w:val="00C01F9C"/>
    <w:rsid w:val="00C05847"/>
    <w:rsid w:val="00C11082"/>
    <w:rsid w:val="00C137DB"/>
    <w:rsid w:val="00C15041"/>
    <w:rsid w:val="00C22F1E"/>
    <w:rsid w:val="00C2393E"/>
    <w:rsid w:val="00C326AC"/>
    <w:rsid w:val="00C37BD5"/>
    <w:rsid w:val="00C43CA3"/>
    <w:rsid w:val="00C452BD"/>
    <w:rsid w:val="00C50984"/>
    <w:rsid w:val="00C55848"/>
    <w:rsid w:val="00C76BD2"/>
    <w:rsid w:val="00C846CD"/>
    <w:rsid w:val="00C93787"/>
    <w:rsid w:val="00C9470C"/>
    <w:rsid w:val="00CA656A"/>
    <w:rsid w:val="00CB0CE5"/>
    <w:rsid w:val="00CB53F2"/>
    <w:rsid w:val="00CC426D"/>
    <w:rsid w:val="00CC6868"/>
    <w:rsid w:val="00CD3C8F"/>
    <w:rsid w:val="00CD5DEB"/>
    <w:rsid w:val="00CE438B"/>
    <w:rsid w:val="00D01BDF"/>
    <w:rsid w:val="00D161A6"/>
    <w:rsid w:val="00D24970"/>
    <w:rsid w:val="00D3013B"/>
    <w:rsid w:val="00D328B2"/>
    <w:rsid w:val="00D345B6"/>
    <w:rsid w:val="00D36BEA"/>
    <w:rsid w:val="00D42F5D"/>
    <w:rsid w:val="00D53924"/>
    <w:rsid w:val="00D553EF"/>
    <w:rsid w:val="00D65DCE"/>
    <w:rsid w:val="00D75759"/>
    <w:rsid w:val="00D822AD"/>
    <w:rsid w:val="00D83993"/>
    <w:rsid w:val="00D83A87"/>
    <w:rsid w:val="00D84B6C"/>
    <w:rsid w:val="00D94E54"/>
    <w:rsid w:val="00DC2EB1"/>
    <w:rsid w:val="00DE690C"/>
    <w:rsid w:val="00DE6DAF"/>
    <w:rsid w:val="00DF249D"/>
    <w:rsid w:val="00DF68FD"/>
    <w:rsid w:val="00E03676"/>
    <w:rsid w:val="00E1537A"/>
    <w:rsid w:val="00E24FE2"/>
    <w:rsid w:val="00E41A61"/>
    <w:rsid w:val="00E54642"/>
    <w:rsid w:val="00E65C72"/>
    <w:rsid w:val="00E77FF6"/>
    <w:rsid w:val="00E80A35"/>
    <w:rsid w:val="00E829A0"/>
    <w:rsid w:val="00EA0BE8"/>
    <w:rsid w:val="00EA7C4A"/>
    <w:rsid w:val="00EB241C"/>
    <w:rsid w:val="00EB33A9"/>
    <w:rsid w:val="00EC4416"/>
    <w:rsid w:val="00EE1BB9"/>
    <w:rsid w:val="00EF30C9"/>
    <w:rsid w:val="00EF4D6B"/>
    <w:rsid w:val="00F109D6"/>
    <w:rsid w:val="00F1493F"/>
    <w:rsid w:val="00F163B6"/>
    <w:rsid w:val="00F21F8C"/>
    <w:rsid w:val="00F2663C"/>
    <w:rsid w:val="00F37C35"/>
    <w:rsid w:val="00F606F9"/>
    <w:rsid w:val="00F622D8"/>
    <w:rsid w:val="00F71E76"/>
    <w:rsid w:val="00F8711F"/>
    <w:rsid w:val="00F96F09"/>
    <w:rsid w:val="00FA7D4C"/>
    <w:rsid w:val="00FB3104"/>
    <w:rsid w:val="00FB58D8"/>
    <w:rsid w:val="00FE2848"/>
    <w:rsid w:val="00FE5C5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290DD8-93CD-49D5-BF8D-E6FDC5B5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D75759"/>
    <w:pPr>
      <w:ind w:left="720"/>
      <w:contextualSpacing/>
    </w:pPr>
  </w:style>
  <w:style w:type="paragraph" w:styleId="ae">
    <w:name w:val="footnote text"/>
    <w:basedOn w:val="a"/>
    <w:link w:val="af"/>
    <w:semiHidden/>
    <w:unhideWhenUsed/>
    <w:rsid w:val="003F1F93"/>
    <w:rPr>
      <w:sz w:val="20"/>
      <w:szCs w:val="20"/>
    </w:rPr>
  </w:style>
  <w:style w:type="character" w:customStyle="1" w:styleId="af">
    <w:name w:val="טקסט הערת שוליים תו"/>
    <w:basedOn w:val="a0"/>
    <w:link w:val="ae"/>
    <w:semiHidden/>
    <w:rsid w:val="003F1F93"/>
    <w:rPr>
      <w:rFonts w:cs="David"/>
      <w:noProof/>
    </w:rPr>
  </w:style>
  <w:style w:type="character" w:styleId="af0">
    <w:name w:val="footnote reference"/>
    <w:basedOn w:val="a0"/>
    <w:semiHidden/>
    <w:unhideWhenUsed/>
    <w:rsid w:val="003F1F93"/>
    <w:rPr>
      <w:vertAlign w:val="superscript"/>
    </w:rPr>
  </w:style>
  <w:style w:type="paragraph" w:customStyle="1" w:styleId="p00">
    <w:name w:val="p00"/>
    <w:basedOn w:val="a"/>
    <w:rsid w:val="0079763A"/>
    <w:pPr>
      <w:bidi w:val="0"/>
      <w:spacing w:before="100" w:beforeAutospacing="1" w:after="100" w:afterAutospacing="1"/>
    </w:pPr>
    <w:rPr>
      <w:rFonts w:eastAsiaTheme="minorHAnsi" w:cs="Times New Roman"/>
      <w:noProof w:val="0"/>
    </w:rPr>
  </w:style>
  <w:style w:type="paragraph" w:customStyle="1" w:styleId="p01">
    <w:name w:val="p01"/>
    <w:basedOn w:val="a"/>
    <w:rsid w:val="0079763A"/>
    <w:pPr>
      <w:bidi w:val="0"/>
      <w:spacing w:before="100" w:beforeAutospacing="1" w:after="100" w:afterAutospacing="1"/>
    </w:pPr>
    <w:rPr>
      <w:rFonts w:eastAsiaTheme="minorHAnsi" w:cs="Times New Roman"/>
      <w:noProof w:val="0"/>
    </w:rPr>
  </w:style>
  <w:style w:type="character" w:customStyle="1" w:styleId="default">
    <w:name w:val="default"/>
    <w:basedOn w:val="a0"/>
    <w:rsid w:val="0079763A"/>
  </w:style>
  <w:style w:type="paragraph" w:styleId="af1">
    <w:name w:val="annotation subject"/>
    <w:basedOn w:val="a6"/>
    <w:next w:val="a6"/>
    <w:link w:val="af2"/>
    <w:semiHidden/>
    <w:unhideWhenUsed/>
    <w:rsid w:val="004C2BD2"/>
    <w:rPr>
      <w:rFonts w:cs="David"/>
      <w:b/>
      <w:bCs/>
      <w:noProof/>
      <w:sz w:val="20"/>
      <w:szCs w:val="20"/>
    </w:rPr>
  </w:style>
  <w:style w:type="character" w:customStyle="1" w:styleId="a7">
    <w:name w:val="טקסט הערה תו"/>
    <w:basedOn w:val="a0"/>
    <w:link w:val="a6"/>
    <w:semiHidden/>
    <w:rsid w:val="004C2BD2"/>
    <w:rPr>
      <w:sz w:val="24"/>
      <w:szCs w:val="24"/>
    </w:rPr>
  </w:style>
  <w:style w:type="character" w:customStyle="1" w:styleId="af2">
    <w:name w:val="נושא הערה תו"/>
    <w:basedOn w:val="a7"/>
    <w:link w:val="af1"/>
    <w:semiHidden/>
    <w:rsid w:val="004C2BD2"/>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09067">
      <w:bodyDiv w:val="1"/>
      <w:marLeft w:val="0"/>
      <w:marRight w:val="0"/>
      <w:marTop w:val="0"/>
      <w:marBottom w:val="0"/>
      <w:divBdr>
        <w:top w:val="none" w:sz="0" w:space="0" w:color="auto"/>
        <w:left w:val="none" w:sz="0" w:space="0" w:color="auto"/>
        <w:bottom w:val="none" w:sz="0" w:space="0" w:color="auto"/>
        <w:right w:val="none" w:sz="0" w:space="0" w:color="auto"/>
      </w:divBdr>
    </w:div>
    <w:div w:id="287010408">
      <w:bodyDiv w:val="1"/>
      <w:marLeft w:val="0"/>
      <w:marRight w:val="0"/>
      <w:marTop w:val="0"/>
      <w:marBottom w:val="0"/>
      <w:divBdr>
        <w:top w:val="none" w:sz="0" w:space="0" w:color="auto"/>
        <w:left w:val="none" w:sz="0" w:space="0" w:color="auto"/>
        <w:bottom w:val="none" w:sz="0" w:space="0" w:color="auto"/>
        <w:right w:val="none" w:sz="0" w:space="0" w:color="auto"/>
      </w:divBdr>
    </w:div>
    <w:div w:id="488057409">
      <w:bodyDiv w:val="1"/>
      <w:marLeft w:val="0"/>
      <w:marRight w:val="0"/>
      <w:marTop w:val="0"/>
      <w:marBottom w:val="0"/>
      <w:divBdr>
        <w:top w:val="none" w:sz="0" w:space="0" w:color="auto"/>
        <w:left w:val="none" w:sz="0" w:space="0" w:color="auto"/>
        <w:bottom w:val="none" w:sz="0" w:space="0" w:color="auto"/>
        <w:right w:val="none" w:sz="0" w:space="0" w:color="auto"/>
      </w:divBdr>
    </w:div>
    <w:div w:id="814764089">
      <w:bodyDiv w:val="1"/>
      <w:marLeft w:val="0"/>
      <w:marRight w:val="0"/>
      <w:marTop w:val="0"/>
      <w:marBottom w:val="0"/>
      <w:divBdr>
        <w:top w:val="none" w:sz="0" w:space="0" w:color="auto"/>
        <w:left w:val="none" w:sz="0" w:space="0" w:color="auto"/>
        <w:bottom w:val="none" w:sz="0" w:space="0" w:color="auto"/>
        <w:right w:val="none" w:sz="0" w:space="0" w:color="auto"/>
      </w:divBdr>
    </w:div>
    <w:div w:id="1152064698">
      <w:bodyDiv w:val="1"/>
      <w:marLeft w:val="0"/>
      <w:marRight w:val="0"/>
      <w:marTop w:val="0"/>
      <w:marBottom w:val="0"/>
      <w:divBdr>
        <w:top w:val="none" w:sz="0" w:space="0" w:color="auto"/>
        <w:left w:val="none" w:sz="0" w:space="0" w:color="auto"/>
        <w:bottom w:val="none" w:sz="0" w:space="0" w:color="auto"/>
        <w:right w:val="none" w:sz="0" w:space="0" w:color="auto"/>
      </w:divBdr>
    </w:div>
    <w:div w:id="12048291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8435409">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2037719">
      <w:bodyDiv w:val="1"/>
      <w:marLeft w:val="0"/>
      <w:marRight w:val="0"/>
      <w:marTop w:val="0"/>
      <w:marBottom w:val="0"/>
      <w:divBdr>
        <w:top w:val="none" w:sz="0" w:space="0" w:color="auto"/>
        <w:left w:val="none" w:sz="0" w:space="0" w:color="auto"/>
        <w:bottom w:val="none" w:sz="0" w:space="0" w:color="auto"/>
        <w:right w:val="none" w:sz="0" w:space="0" w:color="auto"/>
      </w:divBdr>
    </w:div>
    <w:div w:id="1530024581">
      <w:bodyDiv w:val="1"/>
      <w:marLeft w:val="0"/>
      <w:marRight w:val="0"/>
      <w:marTop w:val="0"/>
      <w:marBottom w:val="0"/>
      <w:divBdr>
        <w:top w:val="none" w:sz="0" w:space="0" w:color="auto"/>
        <w:left w:val="none" w:sz="0" w:space="0" w:color="auto"/>
        <w:bottom w:val="none" w:sz="0" w:space="0" w:color="auto"/>
        <w:right w:val="none" w:sz="0" w:space="0" w:color="auto"/>
      </w:divBdr>
    </w:div>
    <w:div w:id="1646012338">
      <w:bodyDiv w:val="1"/>
      <w:marLeft w:val="0"/>
      <w:marRight w:val="0"/>
      <w:marTop w:val="0"/>
      <w:marBottom w:val="0"/>
      <w:divBdr>
        <w:top w:val="none" w:sz="0" w:space="0" w:color="auto"/>
        <w:left w:val="none" w:sz="0" w:space="0" w:color="auto"/>
        <w:bottom w:val="none" w:sz="0" w:space="0" w:color="auto"/>
        <w:right w:val="none" w:sz="0" w:space="0" w:color="auto"/>
      </w:divBdr>
    </w:div>
    <w:div w:id="168166090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07034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יהושע ביליצקי</FullName>
        <FirstName>יהושע</FirstName>
        <LastName>ביליצקי</LastName>
        <PartyPropertyName/>
        <AuthenticationTypeAndNumber>חבר ועדה 61</AuthenticationTypeAndNumber>
        <RepresentatedOrRepresentativesNames/>
        <RepresentatedOrRepresentativesCount>0</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249294267</CasePartyID>
        <PartyTypeID>3</PartyTypeID>
        <ActivityStatusID>1</ActivityStatusID>
        <LegalEntityID>70804207</LegalEntityID>
        <CaseLegalEntityID>122374501</CaseLegalEntityID>
        <AssistantRoleID>112</AssistantRoleID>
        <AuthenticationTypeID>39</AuthenticationTypeID>
        <AuthenticationTypeName>חבר ועדה</AuthenticationTypeName>
        <LegalEntityNumber>61</LegalEntityNumber>
        <IsMainPartyType>true</IsMainPartyType>
        <CaseDisplayIdentifier>59273-01-22</CaseDisplayIdentifier>
        <CaseTypeID>14</CaseTypeID>
        <CaseTypeName>ועדת ערר (ו"ע)</CaseTypeName>
        <CaseName>צוובנר ואח' נ' מנהל מיסוי מקרקעין תל אביב</CaseName>
        <FullAddress>הנגב 11 תל אביב -יפו מגדלי רובינשטיין קומה 9 מגדל A מחלקת המיסים</FullAddress>
        <EmailAddress>joshua.bielitsky@poalim.co.il</EmailAddress>
        <MotionID>0</MotionID>
        <CasePleaID>0</CasePleaID>
        <BirthDate>1955-01-01T00:00:00+02:00</BirthDate>
        <FatherName>ויקטור חיים</FatherName>
        <LinkedCaseID>0</LinkedCaseID>
        <PartyID>1</PartyID>
        <CasePartyCategoryID>2</CasePartyCategoryID>
        <LegalEntityAddressID>72228472</LegalEntityAddressID>
        <LegalEntityEmailAddressID>67873979</LegalEntityEmailAddressID>
        <PleaTypeID>18</PleaTypeID>
        <GroupPartyAlias/>
        <IsConverted>false</IsConverted>
        <LegalEntityNameID>73503050</LegalEntityNameID>
        <RepresentatedNamesOfAssistant/>
        <LegalEntityTypeID>10</LegalEntityTypeID>
        <IsVerdictExists>false</IsVerdictExists>
        <IsAsirAzir>false</IsAsirAzir>
        <MainAndSecSpec/>
        <IsPublicationProhibited>false</IsPublicationProhibited>
        <PublicationProhibitedFullName>יהושע ביליצקי</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צבי פרידמן</FullName>
        <FirstName>צבי</FirstName>
        <LastName>פרידמן</LastName>
        <PartyPropertyName/>
        <AuthenticationTypeAndNumber>חבר ועדה 67</AuthenticationTypeAndNumber>
        <RepresentatedOrRepresentativesNames/>
        <RepresentatedOrRepresentativesCount>0</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249294299</CasePartyID>
        <PartyTypeID>3</PartyTypeID>
        <ActivityStatusID>1</ActivityStatusID>
        <LegalEntityID>70804239</LegalEntityID>
        <CaseLegalEntityID>122374523</CaseLegalEntityID>
        <AssistantRoleID>112</AssistantRoleID>
        <AuthenticationTypeID>39</AuthenticationTypeID>
        <AuthenticationTypeName>חבר ועדה</AuthenticationTypeName>
        <LegalEntityNumber>67</LegalEntityNumber>
        <IsMainPartyType>true</IsMainPartyType>
        <CaseDisplayIdentifier>59273-01-22</CaseDisplayIdentifier>
        <CaseTypeID>14</CaseTypeID>
        <CaseTypeName>ועדת ערר (ו"ע)</CaseTypeName>
        <CaseName>צוובנר ואח' נ' מנהל מיסוי מקרקעין תל אביב</CaseName>
        <FullAddress>בן יהודה 12 ראשון לציון </FullAddress>
        <EmailAddress>zfriedman@deloitte.co.il</EmailAddress>
        <MotionID>0</MotionID>
        <CasePleaID>0</CasePleaID>
        <BirthDate>1955-01-01T00:00:00+02:00</BirthDate>
        <FatherName>ויקטור חיים</FatherName>
        <LinkedCaseID>0</LinkedCaseID>
        <PartyID>1</PartyID>
        <CasePartyCategoryID>2</CasePartyCategoryID>
        <LegalEntityAddressID>72228516</LegalEntityAddressID>
        <LegalEntityEmailAddressID>67866528</LegalEntityEmailAddressID>
        <PleaTypeID>18</PleaTypeID>
        <GroupPartyAlias/>
        <IsConverted>false</IsConverted>
        <LegalEntityNameID>73503100</LegalEntityNameID>
        <RepresentatedNamesOfAssistant/>
        <LegalEntityTypeID>10</LegalEntityTypeID>
        <IsVerdictExists>false</IsVerdictExists>
        <IsAsirAzir>false</IsAsirAzir>
        <MainAndSecSpec/>
        <IsPublicationProhibited>false</IsPublicationProhibited>
        <PublicationProhibitedFullName>צבי פרידמן</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רוני צוובנר</FullName>
        <FirstName>רוני</FirstName>
        <LastName>צוובנר</LastName>
        <PartyPropertyName/>
        <AuthenticationTypeAndNumber>מ.ר. 10345</AuthenticationTypeAndNumber>
        <RepresentatedOrRepresentativesNames>נטע צוובנר, ארז שחר</RepresentatedOrRepresentativesNames>
        <RepresentatedOrRepresentativesCount>2</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236633810</CasePartyID>
        <PartyTypeID>2</PartyTypeID>
        <ActivityStatusID>1</ActivityStatusID>
        <PartyAliasID>35</PartyAliasID>
        <PartyAliasName>בא כוח עוררים</PartyAliasName>
        <OrdinalNumber>1</OrdinalNumber>
        <LegalEntityID>400206</LegalEntityID>
        <CaseLegalEntityID>118443764</CaseLegalEntityID>
        <AuthenticationTypeID>4</AuthenticationTypeID>
        <AuthenticationTypeName>מ.ר.</AuthenticationTypeName>
        <LegalEntityNumber>10345</LegalEntityNumber>
        <IsMainPartyType>true</IsMainPartyType>
        <CaseDisplayIdentifier>59273-01-22</CaseDisplayIdentifier>
        <CaseTypeID>14</CaseTypeID>
        <CaseTypeName>ועדת ערר (ו"ע)</CaseTypeName>
        <CaseName>צוובנר ואח' נ' מנהל מיסוי מקרקעין תל אביב</CaseName>
        <FullAddress>הצבר 4 מבשרת ציון ת.ד 271</FullAddress>
        <MotionID>0</MotionID>
        <CasePleaID>0</CasePleaID>
        <LinkedCaseID>0</LinkedCaseID>
        <PartyID>1</PartyID>
        <CasePartyCategoryID>2</CasePartyCategoryID>
        <LegalEntityAddressID>443188</LegalEntityAddressID>
        <PleaTypeID>18</PleaTypeID>
        <LawyerOfficeName>משרד עו"ד: רוני צוובנר</LawyerOfficeName>
        <LawyerOfficeID>440850</LawyerOfficeID>
        <GroupPartyAlias/>
        <IsConverted>false</IsConverted>
        <LegalEntityNameID>21190</LegalEntityNameID>
        <RepresentatedNamesOfAssistant/>
        <LegalEntityTypeID>4</LegalEntityTypeID>
        <IsVerdictExists>false</IsVerdictExists>
        <IsAsirAzir>false</IsAsirAzir>
        <MainAndSecSpec/>
        <IsPublicationProhibited>false</IsPublicationProhibited>
        <PublicationProhibitedFullName>רוני צוובנר</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נטע צוובנר</FullName>
        <FirstName>נטע</FirstName>
        <LastName>צוובנר</LastName>
        <PartyPropertyName/>
        <AuthenticationTypeAndNumber>ת"ז 040436446</AuthenticationTypeAndNumber>
        <RepresentatedOrRepresentativesNames>רוני צוובנר</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236633808</CasePartyID>
        <PartyTypeID>1</PartyTypeID>
        <ActivityStatusID>1</ActivityStatusID>
        <PartyAliasID>16</PartyAliasID>
        <PartyAliasName>עורר</PartyAliasName>
        <OrdinalNumber>1</OrdinalNumber>
        <LegalEntityID>74749617</LegalEntityID>
        <CaseLegalEntityID>118443762</CaseLegalEntityID>
        <AuthenticationTypeID>1</AuthenticationTypeID>
        <AuthenticationTypeName>ת"ז</AuthenticationTypeName>
        <LegalEntityNumber>040436446</LegalEntityNumber>
        <IsMainPartyType>true</IsMainPartyType>
        <CaseDisplayIdentifier>59273-01-22</CaseDisplayIdentifier>
        <CaseTypeID>14</CaseTypeID>
        <CaseTypeName>ועדת ערר (ו"ע)</CaseTypeName>
        <CaseName>צוובנר ואח' נ' מנהל מיסוי מקרקעין תל אביב</CaseName>
        <FullAddress>מאזה 74 תל אביב -יפו הכתובת לצורך כתבי בית דין אצל בא כוח עורך דין רוני צובנרמרחוב צבר 4 ת.ד 271 מבשרת ציון 90805</FullAddress>
        <MotionID>0</MotionID>
        <CasePleaID>0</CasePleaID>
        <FatherName>עזריאל זליג</FatherName>
        <LinkedCaseID>0</LinkedCaseID>
        <PartyID>1</PartyID>
        <CasePartyCategoryID>2</CasePartyCategoryID>
        <LegalEntityAddressID>86161023</LegalEntityAddressID>
        <PleaTypeID>18</PleaTypeID>
        <GroupPartyAlias>עוררים</GroupPartyAlias>
        <IsConverted>false</IsConverted>
        <LegalEntityRegisteredNameID>9800366</LegalEntityRegisteredNameID>
        <LegalEntityNameID>92603000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נטע צוובנר</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תל אביב</FullName>
        <FirstName/>
        <LastName>מנהל מיסוי מקרקעין תל אביב</LastName>
        <PartyPropertyName/>
        <AuthenticationTypeAndNumber>חברות </AuthenticationTypeAndNumber>
        <RepresentatedOrRepresentativesNames>ליאב וינבאום</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236633811</CasePartyID>
        <PartyTypeID>1</PartyTypeID>
        <ActivityStatusID>1</ActivityStatusID>
        <PartyAliasID>4</PartyAliasID>
        <PartyAliasName>משיב</PartyAliasName>
        <OrdinalNumber>1</OrdinalNumber>
        <LegalEntityID>80282232</LegalEntityID>
        <CaseLegalEntityID>118443765</CaseLegalEntityID>
        <AuthenticationTypeID>3</AuthenticationTypeID>
        <AuthenticationTypeName>חברות</AuthenticationTypeName>
        <IsMainPartyType>true</IsMainPartyType>
        <CaseDisplayIdentifier>59273-01-22</CaseDisplayIdentifier>
        <CaseTypeID>14</CaseTypeID>
        <CaseTypeName>ועדת ערר (ו"ע)</CaseTypeName>
        <CaseName>צוובנר ואח' נ' מנהל מיסוי מקרקעין תל אביב</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NameID>92602998</LegalEntityNameID>
        <RepresentatedNamesOfAssistant/>
        <LegalEntityTypeID>3</LegalEntityTypeID>
        <IsVerdictExists>false</IsVerdictExists>
        <IsAsirAzir>false</IsAsirAzir>
        <MainAndSecSpec/>
        <IsPublicationProhibited>false</IsPublicationProhibited>
        <PublicationProhibitedFullName>מנהל מיסוי מקרקעין תל אביב</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מיסוי מקרקעין תל אביב</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245028574</CasePartyID>
        <PartyTypeID>2</PartyTypeID>
        <ActivityStatusID>1</ActivityStatusID>
        <PartyAliasID>23</PartyAliasID>
        <PartyAliasName>בא כוח משיבים</PartyAliasName>
        <OrdinalNumber>1</OrdinalNumber>
        <LegalEntityID>379600</LegalEntityID>
        <CaseLegalEntityID>121042094</CaseLegalEntityID>
        <AuthenticationTypeID>4</AuthenticationTypeID>
        <AuthenticationTypeName>מ.ר.</AuthenticationTypeName>
        <LegalEntityNumber>14771</LegalEntityNumber>
        <IsMainPartyType>true</IsMainPartyType>
        <CaseDisplayIdentifier>59273-01-22</CaseDisplayIdentifier>
        <CaseTypeID>14</CaseTypeID>
        <CaseTypeName>ועדת ערר (ו"ע)</CaseTypeName>
        <CaseName>צוובנר ואח' נ' מנהל מיסוי מקרקעין תל אביב</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18</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ארז שחר</FullName>
        <FirstName>ארז</FirstName>
        <LastName>שחר</LastName>
        <PartyPropertyName/>
        <AuthenticationTypeAndNumber>ת"ז 058141847</AuthenticationTypeAndNumber>
        <RepresentatedOrRepresentativesNames>רוני צוובנר</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236633809</CasePartyID>
        <PartyTypeID>1</PartyTypeID>
        <ActivityStatusID>1</ActivityStatusID>
        <PartyAliasID>16</PartyAliasID>
        <PartyAliasName>עורר</PartyAliasName>
        <OrdinalNumber>2</OrdinalNumber>
        <LegalEntityID>70332865</LegalEntityID>
        <CaseLegalEntityID>118443763</CaseLegalEntityID>
        <AuthenticationTypeID>1</AuthenticationTypeID>
        <AuthenticationTypeName>ת"ז</AuthenticationTypeName>
        <LegalEntityNumber>058141847</LegalEntityNumber>
        <IsMainPartyType>true</IsMainPartyType>
        <CaseDisplayIdentifier>59273-01-22</CaseDisplayIdentifier>
        <CaseTypeID>14</CaseTypeID>
        <CaseTypeName>ועדת ערר (ו"ע)</CaseTypeName>
        <CaseName>צוובנר ואח' נ' מנהל מיסוי מקרקעין תל אביב</CaseName>
        <FullAddress>מאזה 74 תל אביב -יפו הכתובת לצורך כתבי בית דין אצל בא כוח עורך דין רוני צובנרמרחוב צבר 4 ת.ד 271 מבשרת ציון 90805</FullAddress>
        <MotionID>0</MotionID>
        <CasePleaID>0</CasePleaID>
        <FatherName>אריה</FatherName>
        <LinkedCaseID>0</LinkedCaseID>
        <PartyID>1</PartyID>
        <CasePartyCategoryID>2</CasePartyCategoryID>
        <LegalEntityAddressID>86161025</LegalEntityAddressID>
        <GrandfatherName/>
        <DrivingLicenseNumber>1021733</DrivingLicenseNumber>
        <PleaTypeID>18</PleaTypeID>
        <GroupPartyAlias>עוררים</GroupPartyAlias>
        <IsConverted>false</IsConverted>
        <LegalEntityRegisteredNameID>2595712</LegalEntityRegisteredNameID>
        <LegalEntityNameID>92603001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ארז שחר</PublicationProhibitedFullName>
      </CaseParties>
    </CasePartiesSelectionDS>
    <DecisionName>פסק דין  שניתנה ע"י  הרי קירש</DecisionName>
    <CourtDisplayName>בית משפט לעניינים מנהליים בתל אביב -יפו</CourtDisplayName>
    <IsCaseJudgePanel>false</IsCaseJudgePanel>
    <DecisionSignatureDate>2024-10-13T10:31:10.8671405+03:00</DecisionSignatureDate>
    <OpenCaseDate>2022-01-26T13:02:00+02:00</OpenCaseDate>
    <CaseFeeSum>0.000</CaseFeeSum>
    <DecisionTypeID>2</DecisionTypeID>
    <DecisionSignatureUserName>הרי קירש</DecisionSignatureUserName>
    <DecisionSignatureDateHebrew>2024-10-13T10:31:10.8671405+03:00</DecisionSignatureDateHebrew>
    <DecisionWriterID>015522196@GOV.IL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צוובנר ואח' נ' מנהל מיסוי מקרקעין תל אביב</CaseName>
    <DecisionNumberInCase>12</DecisionNumberInCase>
  </dt_Decision>
  <dt_DecisionCase>
    <DecisionID>0</DecisionID>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נציג ציבור - ועדות ערר</RoleName>
        <IsSubProceeding>FALSE</IsSubProceeding>
        <FullName>יהושע ביליצקי</FullName>
        <FirstName>יהושע</FirstName>
        <LastName>ביליצקי</LastName>
        <PartyPropertyName/>
        <AuthenticationTypeAndNumber>חבר ועדה 61</AuthenticationTypeAndNumber>
        <RepresentatedOrRepresentativesNames/>
        <RepresentatedOrRepresentativesCount>0</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249294267</CasePartyID>
        <PartyTypeID>3</PartyTypeID>
        <ActivityStatusID>1</ActivityStatusID>
        <LegalEntityID>70804207</LegalEntityID>
        <CaseLegalEntityID>122374501</CaseLegalEntityID>
        <AssistantRoleID>112</AssistantRoleID>
        <AuthenticationTypeID>39</AuthenticationTypeID>
        <AuthenticationTypeName>חבר ועדה</AuthenticationTypeName>
        <LegalEntityNumber>61</LegalEntityNumber>
        <IsMainPartyType>true</IsMainPartyType>
        <CaseDisplayIdentifier>59273-01-22</CaseDisplayIdentifier>
        <CaseTypeID>14</CaseTypeID>
        <CaseTypeName>ועדת ערר (ו"ע)</CaseTypeName>
        <CaseName>צוובנר ואח' נ' מנהל מיסוי מקרקעין תל אביב</CaseName>
        <FullAddress>הנגב 11 תל אביב -יפו מגדלי רובינשטיין קומה 9 מגדל A מחלקת המיסים</FullAddress>
        <EmailAddress>joshua.bielitsky@poalim.co.il</EmailAddress>
        <MotionID>0</MotionID>
        <CasePleaID>0</CasePleaID>
        <BirthDate>1955-01-01T00:00:00+02:00</BirthDate>
        <FatherName>ויקטור חיים</FatherName>
        <LinkedCaseID>0</LinkedCaseID>
        <PartyID>1</PartyID>
        <CasePartyCategoryID>2</CasePartyCategoryID>
        <LegalEntityAddressID>72228472</LegalEntityAddressID>
        <LegalEntityEmailAddressID>67873979</LegalEntityEmailAddressID>
        <PleaTypeID>18</PleaTypeID>
        <GroupPartyAlias/>
        <IsConverted>false</IsConverted>
        <LegalEntityNameID>73503050</LegalEntityNameID>
        <RepresentatedNamesOfAssistant/>
        <LegalEntityTypeID>10</LegalEntityTypeID>
        <IsVerdictExists>false</IsVerdictExists>
        <IsAsirAzir>false</IsAsirAzir>
        <MainAndSecSpec/>
        <IsPublicationProhibited>false</IsPublicationProhibited>
        <PublicationProhibitedFullName>יהושע ביליצקי</PublicationProhibitedFullName>
      </CaseParties>
      <CaseParties>
        <PartyTypeName>מסייע</PartyTypeName>
        <ProceedingType>כתב טענות עיקרי</ProceedingType>
        <PleaName>כתב ערר</PleaName>
        <PartyBelonging> - </PartyBelonging>
        <RoleName>נציג ציבור - ועדות ערר</RoleName>
        <IsSubProceeding>FALSE</IsSubProceeding>
        <FullName>צבי פרידמן</FullName>
        <FirstName>צבי</FirstName>
        <LastName>פרידמן</LastName>
        <PartyPropertyName/>
        <AuthenticationTypeAndNumber>חבר ועדה 67</AuthenticationTypeAndNumber>
        <RepresentatedOrRepresentativesNames/>
        <RepresentatedOrRepresentativesCount>0</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249294299</CasePartyID>
        <PartyTypeID>3</PartyTypeID>
        <ActivityStatusID>1</ActivityStatusID>
        <LegalEntityID>70804239</LegalEntityID>
        <CaseLegalEntityID>122374523</CaseLegalEntityID>
        <AssistantRoleID>112</AssistantRoleID>
        <AuthenticationTypeID>39</AuthenticationTypeID>
        <AuthenticationTypeName>חבר ועדה</AuthenticationTypeName>
        <LegalEntityNumber>67</LegalEntityNumber>
        <IsMainPartyType>true</IsMainPartyType>
        <CaseDisplayIdentifier>59273-01-22</CaseDisplayIdentifier>
        <CaseTypeID>14</CaseTypeID>
        <CaseTypeName>ועדת ערר (ו"ע)</CaseTypeName>
        <CaseName>צוובנר ואח' נ' מנהל מיסוי מקרקעין תל אביב</CaseName>
        <FullAddress>בן יהודה 12 ראשון לציון </FullAddress>
        <EmailAddress>zfriedman@deloitte.co.il</EmailAddress>
        <MotionID>0</MotionID>
        <CasePleaID>0</CasePleaID>
        <BirthDate>1955-01-01T00:00:00+02:00</BirthDate>
        <FatherName>ויקטור חיים</FatherName>
        <LinkedCaseID>0</LinkedCaseID>
        <PartyID>1</PartyID>
        <CasePartyCategoryID>2</CasePartyCategoryID>
        <LegalEntityAddressID>72228516</LegalEntityAddressID>
        <LegalEntityEmailAddressID>67866528</LegalEntityEmailAddressID>
        <PleaTypeID>18</PleaTypeID>
        <GroupPartyAlias/>
        <IsConverted>false</IsConverted>
        <LegalEntityNameID>73503100</LegalEntityNameID>
        <RepresentatedNamesOfAssistant/>
        <LegalEntityTypeID>10</LegalEntityTypeID>
        <IsVerdictExists>false</IsVerdictExists>
        <IsAsirAzir>false</IsAsirAzir>
        <MainAndSecSpec/>
        <IsPublicationProhibited>false</IsPublicationProhibited>
        <PublicationProhibitedFullName>צבי פרידמן</PublicationProhibitedFullName>
      </CaseParties>
      <CaseParties>
        <PartyTypeName>בא כוח</PartyTypeName>
        <ProceedingType>כתב טענות עיקרי</ProceedingType>
        <PleaName>כתב ערר</PleaName>
        <PartyBelonging> - </PartyBelonging>
        <RoleName>בא כוח עוררים</RoleName>
        <IsSubProceeding>FALSE</IsSubProceeding>
        <FullName>רוני צוובנר</FullName>
        <FirstName>רוני</FirstName>
        <LastName>צוובנר</LastName>
        <PartyPropertyName/>
        <AuthenticationTypeAndNumber>מ.ר. 10345</AuthenticationTypeAndNumber>
        <RepresentatedOrRepresentativesNames>נטע צוובנר, ארז שחר</RepresentatedOrRepresentativesNames>
        <RepresentatedOrRepresentativesCount>2</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236633810</CasePartyID>
        <PartyTypeID>2</PartyTypeID>
        <ActivityStatusID>1</ActivityStatusID>
        <PartyAliasID>35</PartyAliasID>
        <PartyAliasName>בא כוח עוררים</PartyAliasName>
        <OrdinalNumber>1</OrdinalNumber>
        <LegalEntityID>400206</LegalEntityID>
        <CaseLegalEntityID>118443764</CaseLegalEntityID>
        <AuthenticationTypeID>4</AuthenticationTypeID>
        <AuthenticationTypeName>מ.ר.</AuthenticationTypeName>
        <LegalEntityNumber>10345</LegalEntityNumber>
        <IsMainPartyType>true</IsMainPartyType>
        <CaseDisplayIdentifier>59273-01-22</CaseDisplayIdentifier>
        <CaseTypeID>14</CaseTypeID>
        <CaseTypeName>ועדת ערר (ו"ע)</CaseTypeName>
        <CaseName>צוובנר ואח' נ' מנהל מיסוי מקרקעין תל אביב</CaseName>
        <FullAddress>הצבר 4 מבשרת ציון ת.ד 271</FullAddress>
        <MotionID>0</MotionID>
        <CasePleaID>0</CasePleaID>
        <LinkedCaseID>0</LinkedCaseID>
        <PartyID>1</PartyID>
        <CasePartyCategoryID>2</CasePartyCategoryID>
        <LegalEntityAddressID>443188</LegalEntityAddressID>
        <PleaTypeID>18</PleaTypeID>
        <LawyerOfficeName>משרד עו"ד: רוני צוובנר</LawyerOfficeName>
        <LawyerOfficeID>440850</LawyerOfficeID>
        <GroupPartyAlias/>
        <IsConverted>false</IsConverted>
        <LegalEntityNameID>21190</LegalEntityNameID>
        <RepresentatedNamesOfAssistant/>
        <LegalEntityTypeID>4</LegalEntityTypeID>
        <IsVerdictExists>false</IsVerdictExists>
        <IsAsirAzir>false</IsAsirAzir>
        <MainAndSecSpec/>
        <IsPublicationProhibited>false</IsPublicationProhibited>
        <PublicationProhibitedFullName>רוני צוובנר</PublicationProhibitedFullName>
      </CaseParties>
      <CaseParties>
        <PartyTypeName>צד</PartyTypeName>
        <ProceedingType>כתב טענות עיקרי</ProceedingType>
        <PleaName>כתב ערר</PleaName>
        <PartyBelonging>צד א'</PartyBelonging>
        <RoleName>עורר 1</RoleName>
        <IsSubProceeding>FALSE</IsSubProceeding>
        <FullName>נטע צוובנר</FullName>
        <FirstName>נטע</FirstName>
        <LastName>צוובנר</LastName>
        <PartyPropertyName/>
        <AuthenticationTypeAndNumber>ת"ז 040436446</AuthenticationTypeAndNumber>
        <RepresentatedOrRepresentativesNames>רוני צוובנר</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236633808</CasePartyID>
        <PartyTypeID>1</PartyTypeID>
        <ActivityStatusID>1</ActivityStatusID>
        <PartyAliasID>16</PartyAliasID>
        <PartyAliasName>עורר</PartyAliasName>
        <OrdinalNumber>1</OrdinalNumber>
        <LegalEntityID>74749617</LegalEntityID>
        <CaseLegalEntityID>118443762</CaseLegalEntityID>
        <AuthenticationTypeID>1</AuthenticationTypeID>
        <AuthenticationTypeName>ת"ז</AuthenticationTypeName>
        <LegalEntityNumber>040436446</LegalEntityNumber>
        <IsMainPartyType>true</IsMainPartyType>
        <CaseDisplayIdentifier>59273-01-22</CaseDisplayIdentifier>
        <CaseTypeID>14</CaseTypeID>
        <CaseTypeName>ועדת ערר (ו"ע)</CaseTypeName>
        <CaseName>צוובנר ואח' נ' מנהל מיסוי מקרקעין תל אביב</CaseName>
        <FullAddress>מאזה 74 תל אביב -יפו הכתובת לצורך כתבי בית דין אצל בא כוח עורך דין רוני צובנרמרחוב צבר 4 ת.ד 271 מבשרת ציון 90805</FullAddress>
        <MotionID>0</MotionID>
        <CasePleaID>0</CasePleaID>
        <FatherName>עזריאל זליג</FatherName>
        <LinkedCaseID>0</LinkedCaseID>
        <PartyID>1</PartyID>
        <CasePartyCategoryID>2</CasePartyCategoryID>
        <LegalEntityAddressID>86161023</LegalEntityAddressID>
        <PleaTypeID>18</PleaTypeID>
        <GroupPartyAlias>עוררים</GroupPartyAlias>
        <IsConverted>false</IsConverted>
        <LegalEntityRegisteredNameID>9800366</LegalEntityRegisteredNameID>
        <LegalEntityNameID>92603000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נטע צוובנר</PublicationProhibitedFullName>
      </CaseParties>
      <CaseParties>
        <PartyTypeName>צד</PartyTypeName>
        <ProceedingType>כתב טענות עיקרי</ProceedingType>
        <PleaName>כתב ערר</PleaName>
        <PartyBelonging>צד ב'</PartyBelonging>
        <RoleName>משיב 1</RoleName>
        <IsSubProceeding>FALSE</IsSubProceeding>
        <FullName>מנהל מיסוי מקרקעין תל אביב</FullName>
        <FirstName/>
        <LastName>מנהל מיסוי מקרקעין תל אביב</LastName>
        <PartyPropertyName/>
        <AuthenticationTypeAndNumber>חברות </AuthenticationTypeAndNumber>
        <RepresentatedOrRepresentativesNames>ליאב וינבאום</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236633811</CasePartyID>
        <PartyTypeID>1</PartyTypeID>
        <ActivityStatusID>1</ActivityStatusID>
        <PartyAliasID>4</PartyAliasID>
        <PartyAliasName>משיב</PartyAliasName>
        <OrdinalNumber>1</OrdinalNumber>
        <LegalEntityID>80282232</LegalEntityID>
        <CaseLegalEntityID>118443765</CaseLegalEntityID>
        <AuthenticationTypeID>3</AuthenticationTypeID>
        <AuthenticationTypeName>חברות</AuthenticationTypeName>
        <IsMainPartyType>true</IsMainPartyType>
        <CaseDisplayIdentifier>59273-01-22</CaseDisplayIdentifier>
        <CaseTypeID>14</CaseTypeID>
        <CaseTypeName>ועדת ערר (ו"ע)</CaseTypeName>
        <CaseName>צוובנר ואח' נ' מנהל מיסוי מקרקעין תל אביב</CaseName>
        <FullAddress/>
        <MotionID>0</MotionID>
        <CasePleaID>0</CasePleaID>
        <BirthDate>1955-01-01T00:00:00+02:00</BirthDate>
        <FatherName>ויקטור חיים</FatherName>
        <LinkedCaseID>0</LinkedCaseID>
        <PartyID>2</PartyID>
        <CasePartyCategoryID>2</CasePartyCategoryID>
        <PleaTypeID>18</PleaTypeID>
        <GroupPartyAlias>משיבים</GroupPartyAlias>
        <IsConverted>false</IsConverted>
        <LegalEntityNameID>92602998</LegalEntityNameID>
        <RepresentatedNamesOfAssistant/>
        <LegalEntityTypeID>3</LegalEntityTypeID>
        <IsVerdictExists>false</IsVerdictExists>
        <IsAsirAzir>false</IsAsirAzir>
        <MainAndSecSpec/>
        <IsPublicationProhibited>false</IsPublicationProhibited>
        <PublicationProhibitedFullName>מנהל מיסוי מקרקעין תל אביב</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ליאב וינבאום</FullName>
        <FirstName>ליאב</FirstName>
        <LastName>וינבאום</LastName>
        <PartyPropertyName/>
        <AuthenticationTypeAndNumber>מ.ר. 14771</AuthenticationTypeAndNumber>
        <RepresentatedOrRepresentativesNames> מנהל מיסוי מקרקעין תל אביב</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245028574</CasePartyID>
        <PartyTypeID>2</PartyTypeID>
        <ActivityStatusID>1</ActivityStatusID>
        <PartyAliasID>23</PartyAliasID>
        <PartyAliasName>בא כוח משיבים</PartyAliasName>
        <OrdinalNumber>1</OrdinalNumber>
        <LegalEntityID>379600</LegalEntityID>
        <CaseLegalEntityID>121042094</CaseLegalEntityID>
        <AuthenticationTypeID>4</AuthenticationTypeID>
        <AuthenticationTypeName>מ.ר.</AuthenticationTypeName>
        <LegalEntityNumber>14771</LegalEntityNumber>
        <IsMainPartyType>true</IsMainPartyType>
        <CaseDisplayIdentifier>59273-01-22</CaseDisplayIdentifier>
        <CaseTypeID>14</CaseTypeID>
        <CaseTypeName>ועדת ערר (ו"ע)</CaseTypeName>
        <CaseName>צוובנר ואח' נ' מנהל מיסוי מקרקעין תל אביב</CaseName>
        <FullAddress>דרך מנחם בגין 154 תל אביב -יפו בית קרדן</FullAddress>
        <EmailAddress>Ez_tel-aviv@justice.gov.il</EmailAddress>
        <MotionID>0</MotionID>
        <CasePleaID>0</CasePleaID>
        <FatherName xml:space="preserve">        </FatherName>
        <LinkedCaseID>0</LinkedCaseID>
        <PartyID>2</PartyID>
        <CasePartyCategoryID>2</CasePartyCategoryID>
        <LegalEntityAddressID>82053037</LegalEntityAddressID>
        <LegalEntityEmailAddressID>68004317</LegalEntityEmailAddressID>
        <PleaTypeID>18</PleaTypeID>
        <LawyerOfficeName>פרקליטות מחוז ת"א - אזרחי</LawyerOfficeName>
        <LawyerOfficeID>1503942</LawyerOfficeID>
        <GroupPartyAlias/>
        <IsConverted>false</IsConverted>
        <LegalEntityNameID>584</LegalEntityNameID>
        <RepresentatedNamesOfAssistant/>
        <LegalEntityTypeID>4</LegalEntityTypeID>
        <IsVerdictExists>false</IsVerdictExists>
        <IsAsirAzir>false</IsAsirAzir>
        <MainAndSecSpec/>
        <IsPublicationProhibited>false</IsPublicationProhibited>
        <PublicationProhibitedFullName>ליאב וינבאום</PublicationProhibitedFullName>
      </CaseParties>
      <CaseParties>
        <PartyTypeName>צד</PartyTypeName>
        <ProceedingType>כתב טענות עיקרי</ProceedingType>
        <PleaName>כתב ערר</PleaName>
        <PartyBelonging>צד א'</PartyBelonging>
        <RoleName>עורר 2</RoleName>
        <IsSubProceeding>FALSE</IsSubProceeding>
        <FullName>ארז שחר</FullName>
        <FirstName>ארז</FirstName>
        <LastName>שחר</LastName>
        <PartyPropertyName/>
        <AuthenticationTypeAndNumber>ת"ז 058141847</AuthenticationTypeAndNumber>
        <RepresentatedOrRepresentativesNames>רוני צוובנר</RepresentatedOrRepresentativesNames>
        <RepresentatedOrRepresentativesCount>1</RepresentatedOrRepresentativesCount>
        <InvitedBy/>
        <CaseID>78998480</CaseID>
        <CaseJudicialPersonPresentationDS>
          <CaseJudicalPersonActive>
            <CaseID>78998480</CaseID>
            <JudicialPersonID>015522196@GOV.IL</JudicialPersonID>
            <JudicialPersonTypeID>1</JudicialPersonTypeID>
            <JudicialTypeID>1</JudicialTypeID>
            <IsChairman>false</IsChairman>
            <TreatmentStartDate>2022-03-03T15:00:19.433+02:00</TreatmentStartDate>
            <TreatmentFinishDate>9999-12-31T23:59:59.997+02:00</TreatmentFinishDate>
            <IdentificationCardNumber>015522196</IdentificationCardNumber>
            <DisplayName>הרי קירש</DisplayName>
            <JudicialTypeName>שופט</JudicialTypeName>
            <CaseJudicialGroupNumber>0</CaseJudicialGroupNumber>
            <FirstName>הרי</FirstName>
            <LastName>קירש</LastName>
            <JudicialPersonTitle>שופט</JudicialPersonTitle>
          </CaseJudicalPersonActive>
        </CaseJudicialPersonPresentationDS>
        <CasePartyID>236633809</CasePartyID>
        <PartyTypeID>1</PartyTypeID>
        <ActivityStatusID>1</ActivityStatusID>
        <PartyAliasID>16</PartyAliasID>
        <PartyAliasName>עורר</PartyAliasName>
        <OrdinalNumber>2</OrdinalNumber>
        <LegalEntityID>70332865</LegalEntityID>
        <CaseLegalEntityID>118443763</CaseLegalEntityID>
        <AuthenticationTypeID>1</AuthenticationTypeID>
        <AuthenticationTypeName>ת"ז</AuthenticationTypeName>
        <LegalEntityNumber>058141847</LegalEntityNumber>
        <IsMainPartyType>true</IsMainPartyType>
        <CaseDisplayIdentifier>59273-01-22</CaseDisplayIdentifier>
        <CaseTypeID>14</CaseTypeID>
        <CaseTypeName>ועדת ערר (ו"ע)</CaseTypeName>
        <CaseName>צוובנר ואח' נ' מנהל מיסוי מקרקעין תל אביב</CaseName>
        <FullAddress>מאזה 74 תל אביב -יפו הכתובת לצורך כתבי בית דין אצל בא כוח עורך דין רוני צובנרמרחוב צבר 4 ת.ד 271 מבשרת ציון 90805</FullAddress>
        <MotionID>0</MotionID>
        <CasePleaID>0</CasePleaID>
        <FatherName>אריה</FatherName>
        <LinkedCaseID>0</LinkedCaseID>
        <PartyID>1</PartyID>
        <CasePartyCategoryID>2</CasePartyCategoryID>
        <LegalEntityAddressID>86161025</LegalEntityAddressID>
        <GrandfatherName/>
        <DrivingLicenseNumber>1021733</DrivingLicenseNumber>
        <PleaTypeID>18</PleaTypeID>
        <GroupPartyAlias>עוררים</GroupPartyAlias>
        <IsConverted>false</IsConverted>
        <LegalEntityRegisteredNameID>2595712</LegalEntityRegisteredNameID>
        <LegalEntityNameID>92603001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ארז שחר</PublicationProhibitedFullName>
      </CaseParties>
    </CasePartiesSelectionDS>
    <CaseName>צוובנר ואח' נ' מנהל מיסוי מקרקעין תל אביב</CaseName>
    <CaseDisplayIdentifier>59273-01-22</CaseDisplayIdentifier>
    <CaseInterestID>28</CaseInterestID>
    <CaseTypeShortName>ו"ע</CaseTypeShortName>
  </dt_DecisionCase>
  <dt_DecisionJudgePanel>
    <JudgeID>015522196@GOV.IL</JudgeID>
    <DisplayName>הרי קירש</DisplayName>
    <RoleName>שופט</RoleName>
    <UserTitleName>שופט</UserTitleName>
  </dt_DecisionJudgePanel>
  <dt_LegalEntityDetails>
    <Fax>03-7142640</Fax>
    <Phone>03-7144147</Phone>
    <AddressDesc>מגדלי רובינשטיין קומה 9 מגדל A מחלקת המיסים</AddressDesc>
    <PartyID>1</PartyID>
    <PartyTypeID>3</PartyTypeID>
    <DecisionID>0</DecisionID>
    <AssistantRoleID>112</AssistantRoleID>
    <StreetName>הנגב 11 </StreetName>
    <CityName>תל אביב -יפו</CityName>
    <FullName>יהושע ביליצקי</FullName>
    <Email>joshua.bielitsky@poalim.co.il</Email>
    <IsPublicationProhibited>false</IsPublicationProhibited>
  </dt_LegalEntityDetails>
  <dt_LegalEntityDetails>
    <Fax>03-6092557</Fax>
    <Phone>03-6085509</Phone>
    <AddressDesc/>
    <PartyID>1</PartyID>
    <PartyTypeID>3</PartyTypeID>
    <DecisionID>0</DecisionID>
    <AssistantRoleID>112</AssistantRoleID>
    <StreetName>בן יהודה 12 </StreetName>
    <ZipCode>75263</ZipCode>
    <CityName>ראשון לציון</CityName>
    <FullName>צבי פרידמן</FullName>
    <Email>zfriedman@deloitte.co.il</Email>
    <IsPublicationProhibited>false</IsPublicationProhibited>
  </dt_LegalEntityDetails>
  <dt_LegalEntityDetails>
    <AddressDesc>הכתובת לצורך כתבי בית דין אצל בא כוח עורך דין רוני צובנרמרחוב צבר 4 ת.ד 271 מבשרת ציון 90805</AddressDesc>
    <PartyID>1</PartyID>
    <PartyTypeID>1</PartyTypeID>
    <DecisionID>0</DecisionID>
    <StreetName>מאזה 74</StreetName>
    <CityName>תל אביב -יפו</CityName>
    <FullName>נטע  צוובנר</FullName>
    <IsPublicationProhibited>false</IsPublicationProhibited>
  </dt_LegalEntityDetails>
  <dt_LegalEntityDetails>
    <Fax>02-5700798</Fax>
    <Phone>02-5700923</Phone>
    <AddressDesc>ת.ד 271</AddressDesc>
    <PartyID>1</PartyID>
    <PartyTypeID>2</PartyTypeID>
    <DecisionID>0</DecisionID>
    <StreetName>הצבר 4</StreetName>
    <ZipCode>90805</ZipCode>
    <CityName>מבשרת ציון</CityName>
    <FullName>רוני צוובנר</FullName>
    <Email>zwebner@hotmail.com</Email>
    <IsPublicationProhibited>false</IsPublicationProhibited>
  </dt_LegalEntityDetails>
  <dt_LegalEntityDetails>
    <PartyID>2</PartyID>
    <PartyTypeID>1</PartyTypeID>
    <DecisionID>0</DecisionID>
    <IsPublicationProhibited>false</IsPublicationProhibited>
  </dt_LegalEntityDetails>
  <dt_LegalEntityDetails>
    <Fax>02-6468005</Fax>
    <Phone>073-3736200</Phone>
    <AddressDesc>בית קרדן</AddressDesc>
    <PartyID>2</PartyID>
    <PartyTypeID>2</PartyTypeID>
    <DecisionID>0</DecisionID>
    <StreetName>דרך מנחם בגין 154</StreetName>
    <ZipCode>6133001</ZipCode>
    <CityName>תל אביב -יפו</CityName>
    <FullName>ליאב וינבאום</FullName>
    <Email>Ez_tel-aviv@justice.gov.il</Email>
    <IsPublicationProhibited>false</IsPublicationProhibited>
  </dt_LegalEntityDetails>
  <dt_LegalEntityDetails>
    <AddressDesc>הכתובת לצורך כתבי בית דין אצל בא כוח עורך דין רוני צובנרמרחוב צבר 4 ת.ד 271 מבשרת ציון 90805</AddressDesc>
    <PartyID>1</PartyID>
    <PartyTypeID>1</PartyTypeID>
    <DecisionID>0</DecisionID>
    <StreetName>מאזה 74</StreetName>
    <CityName>תל אביב -יפו</CityName>
    <FullName>ארז שחר</FullName>
    <IsPublicationProhibited>false</IsPublicationProhibited>
  </dt_LegalEntityDetails>
  <dt_CaseJudicalPersonActive>
    <CaseJudicalPerson>שופט הרי קירש</CaseJudicalPerson>
  </dt_CaseJudicalPersonActive>
  <dt_Sitting>
    <PreviousMeetingDate>2022-07-13T13:00:00+03:00</PreviousMeetingDate>
    <PreviousSittingTypeID>1</PreviousSittingTypeID>
    <PreviousMeetingDisplayName>שופט הרי קירש</PreviousMeetingDisplayName>
    <PreviousMeetingRoleName>שופט</PreviousMeetingRoleName>
    <PreviousMeetingUserTitleName>שופט</PreviousMeetingUserTitleName>
    <PreviousMeetingUserUPN>015522196@GOV.IL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D408-5DBD-4AA1-AADB-CF584BCFF8F6}">
  <ds:schemaRefs/>
</ds:datastoreItem>
</file>

<file path=customXml/itemProps2.xml><?xml version="1.0" encoding="utf-8"?>
<ds:datastoreItem xmlns:ds="http://schemas.openxmlformats.org/officeDocument/2006/customXml" ds:itemID="{23D58E1E-5CE8-46D3-84FD-193F46F6B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4147</Words>
  <Characters>20740</Characters>
  <Application>Microsoft Office Word</Application>
  <DocSecurity>0</DocSecurity>
  <Lines>172</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cp:lastPrinted>2024-10-15T08:18:00Z</cp:lastPrinted>
  <dcterms:created xsi:type="dcterms:W3CDTF">2024-11-04T12:47:00Z</dcterms:created>
  <dcterms:modified xsi:type="dcterms:W3CDTF">2024-11-04T12:47:00Z</dcterms:modified>
</cp:coreProperties>
</file>